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line="240" w:lineRule="auto"/>
        <w:jc w:val="left"/>
      </w:pPr>
      <w:r>
        <w:drawing>
          <wp:inline distT="0" distB="0" distL="0" distR="0">
            <wp:extent cx="1695450" cy="1304925"/>
            <wp:effectExtent t="0" r="0" b="0" l="0"/>
            <wp:docPr id="1" name="logo" descr="The Maples Health Centre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95450" cy="1304925"/>
                    </a:xfrm>
                    <a:prstGeom prst="rect">
                      <a:avLst/>
                    </a:prstGeom>
                  </pic:spPr>
                </pic:pic>
              </a:graphicData>
            </a:graphic>
          </wp:inline>
        </w:drawing>
      </w:r>
    </w:p>
    <w:p>
      <w:pPr>
        <w:spacing w:after="120"/>
      </w:pPr>
      <w:r>
        <w:rPr>
          <w:rFonts w:ascii="Arial" w:cs="Arial" w:eastAsia="Arial" w:hAnsi="Arial"/>
          <w:b/>
          <w:bCs/>
          <w:color w:val="003087"/>
          <w:sz w:val="64"/>
          <w:szCs w:val="64"/>
        </w:rPr>
        <w:t xml:space="preserve">Privacy Notice</w:t>
      </w:r>
    </w:p>
    <w:p>
      <w:pPr>
        <w:pBdr>
          <w:bottom w:val="single" w:color="005EB8" w:sz="18" w:space="12"/>
        </w:pBdr>
        <w:spacing w:after="480"/>
      </w:pPr>
      <w:r>
        <w:rPr>
          <w:color w:val="425563"/>
          <w:sz w:val="28"/>
          <w:szCs w:val="28"/>
        </w:rPr>
        <w:t xml:space="preserve">How we collect, use and protect your personal and health information</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3000"/>
        <w:gridCol w:w="6506"/>
      </w:tblGrid>
      <w:tr>
        <w:tc>
          <w:tcPr>
            <w:tcW w:type="dxa" w:w="3000"/>
            <w:tcBorders>
              <w:top w:val="single" w:color="AEB7BD" w:sz="4"/>
              <w:left w:val="single" w:color="AEB7BD" w:sz="4"/>
              <w:bottom w:val="single" w:color="AEB7BD" w:sz="4"/>
              <w:right w:val="single" w:color="AEB7BD" w:sz="4"/>
            </w:tcBorders>
            <w:shd w:fill="EEF4FA" w:color="auto" w:val="clear"/>
            <w:tcMar>
              <w:top w:type="dxa" w:w="100"/>
              <w:left w:type="dxa" w:w="160"/>
              <w:bottom w:type="dxa" w:w="100"/>
              <w:right w:type="dxa" w:w="160"/>
            </w:tcMar>
          </w:tcPr>
          <w:p>
            <w:pPr>
              <w:spacing w:after="0"/>
            </w:pPr>
            <w:r>
              <w:rPr>
                <w:b/>
                <w:bCs/>
                <w:color w:val="003087"/>
              </w:rPr>
              <w:t xml:space="preserve">Data controller</w:t>
            </w:r>
          </w:p>
        </w:tc>
        <w:tc>
          <w:tcPr>
            <w:tcW w:type="dxa" w:w="6506"/>
            <w:tcBorders>
              <w:top w:val="single" w:color="AEB7BD" w:sz="4"/>
              <w:left w:val="single" w:color="AEB7BD" w:sz="4"/>
              <w:bottom w:val="single" w:color="AEB7BD" w:sz="4"/>
              <w:right w:val="single" w:color="AEB7BD" w:sz="4"/>
            </w:tcBorders>
            <w:tcMar>
              <w:top w:type="dxa" w:w="100"/>
              <w:left w:type="dxa" w:w="160"/>
              <w:bottom w:type="dxa" w:w="100"/>
              <w:right w:type="dxa" w:w="160"/>
            </w:tcMar>
          </w:tcPr>
          <w:p>
            <w:pPr>
              <w:spacing w:after="0"/>
            </w:pPr>
            <w:r>
              <w:t xml:space="preserve">The Maples Health Centre, Vancouver Road, Broxbourne, Herts EN10 6FD</w:t>
            </w:r>
          </w:p>
        </w:tc>
      </w:tr>
      <w:tr>
        <w:tc>
          <w:tcPr>
            <w:tcW w:type="dxa" w:w="3000"/>
            <w:tcBorders>
              <w:top w:val="single" w:color="AEB7BD" w:sz="4"/>
              <w:left w:val="single" w:color="AEB7BD" w:sz="4"/>
              <w:bottom w:val="single" w:color="AEB7BD" w:sz="4"/>
              <w:right w:val="single" w:color="AEB7BD" w:sz="4"/>
            </w:tcBorders>
            <w:shd w:fill="EEF4FA" w:color="auto" w:val="clear"/>
            <w:tcMar>
              <w:top w:type="dxa" w:w="100"/>
              <w:left w:type="dxa" w:w="160"/>
              <w:bottom w:type="dxa" w:w="100"/>
              <w:right w:type="dxa" w:w="160"/>
            </w:tcMar>
          </w:tcPr>
          <w:p>
            <w:pPr>
              <w:spacing w:after="0"/>
            </w:pPr>
            <w:r>
              <w:rPr>
                <w:b/>
                <w:bCs/>
                <w:color w:val="003087"/>
              </w:rPr>
              <w:t xml:space="preserve">ICO registration number</w:t>
            </w:r>
          </w:p>
        </w:tc>
        <w:tc>
          <w:tcPr>
            <w:tcW w:type="dxa" w:w="6506"/>
            <w:tcBorders>
              <w:top w:val="single" w:color="AEB7BD" w:sz="4"/>
              <w:left w:val="single" w:color="AEB7BD" w:sz="4"/>
              <w:bottom w:val="single" w:color="AEB7BD" w:sz="4"/>
              <w:right w:val="single" w:color="AEB7BD" w:sz="4"/>
            </w:tcBorders>
            <w:tcMar>
              <w:top w:type="dxa" w:w="100"/>
              <w:left w:type="dxa" w:w="160"/>
              <w:bottom w:type="dxa" w:w="100"/>
              <w:right w:type="dxa" w:w="160"/>
            </w:tcMar>
          </w:tcPr>
          <w:p>
            <w:pPr>
              <w:spacing w:after="0"/>
            </w:pPr>
            <w:r>
              <w:t xml:space="preserve">Z5313452</w:t>
            </w:r>
          </w:p>
        </w:tc>
      </w:tr>
      <w:tr>
        <w:tc>
          <w:tcPr>
            <w:tcW w:type="dxa" w:w="3000"/>
            <w:tcBorders>
              <w:top w:val="single" w:color="AEB7BD" w:sz="4"/>
              <w:left w:val="single" w:color="AEB7BD" w:sz="4"/>
              <w:bottom w:val="single" w:color="AEB7BD" w:sz="4"/>
              <w:right w:val="single" w:color="AEB7BD" w:sz="4"/>
            </w:tcBorders>
            <w:shd w:fill="EEF4FA" w:color="auto" w:val="clear"/>
            <w:tcMar>
              <w:top w:type="dxa" w:w="100"/>
              <w:left w:type="dxa" w:w="160"/>
              <w:bottom w:type="dxa" w:w="100"/>
              <w:right w:type="dxa" w:w="160"/>
            </w:tcMar>
          </w:tcPr>
          <w:p>
            <w:pPr>
              <w:spacing w:after="0"/>
            </w:pPr>
            <w:r>
              <w:rPr>
                <w:b/>
                <w:bCs/>
                <w:color w:val="003087"/>
              </w:rPr>
              <w:t xml:space="preserve">Last reviewed</w:t>
            </w:r>
          </w:p>
        </w:tc>
        <w:tc>
          <w:tcPr>
            <w:tcW w:type="dxa" w:w="6506"/>
            <w:tcBorders>
              <w:top w:val="single" w:color="AEB7BD" w:sz="4"/>
              <w:left w:val="single" w:color="AEB7BD" w:sz="4"/>
              <w:bottom w:val="single" w:color="AEB7BD" w:sz="4"/>
              <w:right w:val="single" w:color="AEB7BD" w:sz="4"/>
            </w:tcBorders>
            <w:tcMar>
              <w:top w:type="dxa" w:w="100"/>
              <w:left w:type="dxa" w:w="160"/>
              <w:bottom w:type="dxa" w:w="100"/>
              <w:right w:type="dxa" w:w="160"/>
            </w:tcMar>
          </w:tcPr>
          <w:p>
            <w:pPr>
              <w:spacing w:after="0"/>
            </w:pPr>
            <w:r>
              <w:t xml:space="preserve">October 2026</w:t>
            </w:r>
          </w:p>
        </w:tc>
      </w:tr>
      <w:tr>
        <w:tc>
          <w:tcPr>
            <w:tcW w:type="dxa" w:w="3000"/>
            <w:tcBorders>
              <w:top w:val="single" w:color="AEB7BD" w:sz="4"/>
              <w:left w:val="single" w:color="AEB7BD" w:sz="4"/>
              <w:bottom w:val="single" w:color="AEB7BD" w:sz="4"/>
              <w:right w:val="single" w:color="AEB7BD" w:sz="4"/>
            </w:tcBorders>
            <w:shd w:fill="EEF4FA" w:color="auto" w:val="clear"/>
            <w:tcMar>
              <w:top w:type="dxa" w:w="100"/>
              <w:left w:type="dxa" w:w="160"/>
              <w:bottom w:type="dxa" w:w="100"/>
              <w:right w:type="dxa" w:w="160"/>
            </w:tcMar>
          </w:tcPr>
          <w:p>
            <w:pPr>
              <w:spacing w:after="0"/>
            </w:pPr>
            <w:r>
              <w:rPr>
                <w:b/>
                <w:bCs/>
                <w:color w:val="003087"/>
              </w:rPr>
              <w:t xml:space="preserve">Next review date</w:t>
            </w:r>
          </w:p>
        </w:tc>
        <w:tc>
          <w:tcPr>
            <w:tcW w:type="dxa" w:w="6506"/>
            <w:tcBorders>
              <w:top w:val="single" w:color="AEB7BD" w:sz="4"/>
              <w:left w:val="single" w:color="AEB7BD" w:sz="4"/>
              <w:bottom w:val="single" w:color="AEB7BD" w:sz="4"/>
              <w:right w:val="single" w:color="AEB7BD" w:sz="4"/>
            </w:tcBorders>
            <w:tcMar>
              <w:top w:type="dxa" w:w="100"/>
              <w:left w:type="dxa" w:w="160"/>
              <w:bottom w:type="dxa" w:w="100"/>
              <w:right w:type="dxa" w:w="160"/>
            </w:tcMar>
          </w:tcPr>
          <w:p>
            <w:pPr>
              <w:spacing w:after="0"/>
            </w:pPr>
            <w:r>
              <w:t xml:space="preserve">October 2027</w:t>
            </w:r>
          </w:p>
        </w:tc>
      </w:tr>
      <w:tr>
        <w:tc>
          <w:tcPr>
            <w:tcW w:type="dxa" w:w="3000"/>
            <w:tcBorders>
              <w:top w:val="single" w:color="AEB7BD" w:sz="4"/>
              <w:left w:val="single" w:color="AEB7BD" w:sz="4"/>
              <w:bottom w:val="single" w:color="AEB7BD" w:sz="4"/>
              <w:right w:val="single" w:color="AEB7BD" w:sz="4"/>
            </w:tcBorders>
            <w:shd w:fill="EEF4FA" w:color="auto" w:val="clear"/>
            <w:tcMar>
              <w:top w:type="dxa" w:w="100"/>
              <w:left w:type="dxa" w:w="160"/>
              <w:bottom w:type="dxa" w:w="100"/>
              <w:right w:type="dxa" w:w="160"/>
            </w:tcMar>
          </w:tcPr>
          <w:p>
            <w:pPr>
              <w:spacing w:after="0"/>
            </w:pPr>
            <w:r>
              <w:rPr>
                <w:b/>
                <w:bCs/>
                <w:color w:val="003087"/>
              </w:rPr>
              <w:t xml:space="preserve">Document owner</w:t>
            </w:r>
          </w:p>
        </w:tc>
        <w:tc>
          <w:tcPr>
            <w:tcW w:type="dxa" w:w="6506"/>
            <w:tcBorders>
              <w:top w:val="single" w:color="AEB7BD" w:sz="4"/>
              <w:left w:val="single" w:color="AEB7BD" w:sz="4"/>
              <w:bottom w:val="single" w:color="AEB7BD" w:sz="4"/>
              <w:right w:val="single" w:color="AEB7BD" w:sz="4"/>
            </w:tcBorders>
            <w:tcMar>
              <w:top w:type="dxa" w:w="100"/>
              <w:left w:type="dxa" w:w="160"/>
              <w:bottom w:type="dxa" w:w="100"/>
              <w:right w:type="dxa" w:w="160"/>
            </w:tcMar>
          </w:tcPr>
          <w:p>
            <w:pPr>
              <w:spacing w:after="0"/>
            </w:pPr>
            <w:r>
              <w:t xml:space="preserve">Practice Manager</w:t>
            </w:r>
          </w:p>
        </w:tc>
      </w:tr>
    </w:tbl>
    <w:p>
      <w:r>
        <w:br w:type="page"/>
      </w:r>
    </w:p>
    <w:p>
      <w:pPr>
        <w:pStyle w:val="Heading1"/>
      </w:pPr>
      <w:r>
        <w:t xml:space="preserve">Contents</w:t>
      </w:r>
    </w:p>
    <w:tbl>
      <w:tblPr>
        <w:tblW w:type="dxa" w:w="9506"/>
        <w:tblBorders>
          <w:top w:val="none" w:color="FFFFFF" w:sz="0"/>
          <w:left w:val="none" w:color="FFFFFF" w:sz="0"/>
          <w:bottom w:val="none" w:color="FFFFFF" w:sz="0"/>
          <w:right w:val="none" w:color="FFFFFF" w:sz="0"/>
          <w:insideH w:val="none" w:color="FFFFFF" w:sz="0"/>
          <w:insideV w:val="none" w:color="FFFFFF" w:sz="0"/>
        </w:tblBorders>
      </w:tblPr>
      <w:tblGrid>
        <w:gridCol w:w="4753"/>
        <w:gridCol w:w="4753"/>
      </w:tblGrid>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
              <w:r>
                <w:rPr>
                  <w:color w:val="005EB8"/>
                </w:rPr>
                <w:t xml:space="preserve">1.  About us</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4">
              <w:r>
                <w:rPr>
                  <w:color w:val="005EB8"/>
                </w:rPr>
                <w:t xml:space="preserve">14.  CCTV</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2">
              <w:r>
                <w:rPr>
                  <w:color w:val="005EB8"/>
                </w:rPr>
                <w:t xml:space="preserve">2.  Who has information about me?</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5">
              <w:r>
                <w:rPr>
                  <w:color w:val="005EB8"/>
                </w:rPr>
                <w:t xml:space="preserve">15.  General practice data for research</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3">
              <w:r>
                <w:rPr>
                  <w:color w:val="005EB8"/>
                </w:rPr>
                <w:t xml:space="preserve">3.  Information we hold about you</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6">
              <w:r>
                <w:rPr>
                  <w:color w:val="005EB8"/>
                </w:rPr>
                <w:t xml:space="preserve">16.  My Care Record</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4">
              <w:r>
                <w:rPr>
                  <w:color w:val="005EB8"/>
                </w:rPr>
                <w:t xml:space="preserve">4.  How we collect your information</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7">
              <w:r>
                <w:rPr>
                  <w:color w:val="005EB8"/>
                </w:rPr>
                <w:t xml:space="preserve">17.  Health Information Exchange gateway</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5">
              <w:r>
                <w:rPr>
                  <w:color w:val="005EB8"/>
                </w:rPr>
                <w:t xml:space="preserve">5.  How we use your information</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8">
              <w:r>
                <w:rPr>
                  <w:color w:val="005EB8"/>
                </w:rPr>
                <w:t xml:space="preserve">18.  Recordings</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6">
              <w:r>
                <w:rPr>
                  <w:color w:val="005EB8"/>
                </w:rPr>
                <w:t xml:space="preserve">6.  Staff access to your personal and sensitive data</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9">
              <w:r>
                <w:rPr>
                  <w:color w:val="005EB8"/>
                </w:rPr>
                <w:t xml:space="preserve">19.  Primary Care Network (PCN)</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7">
              <w:r>
                <w:rPr>
                  <w:color w:val="005EB8"/>
                </w:rPr>
                <w:t xml:space="preserve">7.  How we keep your information safe and secure</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20">
              <w:r>
                <w:rPr>
                  <w:color w:val="005EB8"/>
                </w:rPr>
                <w:t xml:space="preserve">20.  Integrated Care Systems (ICS)</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8">
              <w:r>
                <w:rPr>
                  <w:color w:val="005EB8"/>
                </w:rPr>
                <w:t xml:space="preserve">8.  Sharing your information</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21">
              <w:r>
                <w:rPr>
                  <w:color w:val="005EB8"/>
                </w:rPr>
                <w:t xml:space="preserve">21.  Integrated Care Boards (ICB)</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9">
              <w:r>
                <w:rPr>
                  <w:color w:val="005EB8"/>
                </w:rPr>
                <w:t xml:space="preserve">9.  Sharing information with third parties and regulators</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22">
              <w:r>
                <w:rPr>
                  <w:color w:val="005EB8"/>
                </w:rPr>
                <w:t xml:space="preserve">22.  Using your data to plan and support better care</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0">
              <w:r>
                <w:rPr>
                  <w:color w:val="005EB8"/>
                </w:rPr>
                <w:t xml:space="preserve">10.  Audits, surveys and initiatives</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23">
              <w:r>
                <w:rPr>
                  <w:color w:val="005EB8"/>
                </w:rPr>
                <w:t xml:space="preserve">23.  OpenSAFELY</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1">
              <w:r>
                <w:rPr>
                  <w:color w:val="005EB8"/>
                </w:rPr>
                <w:t xml:space="preserve">11.  Legal basis for using your information</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24">
              <w:r>
                <w:rPr>
                  <w:color w:val="005EB8"/>
                </w:rPr>
                <w:t xml:space="preserve">24.  Your right to complain to the Information Commissioner’s Office</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2">
              <w:r>
                <w:rPr>
                  <w:color w:val="005EB8"/>
                </w:rPr>
                <w:t xml:space="preserve">12.  Where and for how long we store your information</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AppendixA">
              <w:r>
                <w:rPr>
                  <w:color w:val="005EB8"/>
                </w:rPr>
                <w:t xml:space="preserve">Appendix A  Healthy.io – ACR project for patients with diabetes (and/or other conditions)</w:t>
              </w:r>
            </w:hyperlink>
          </w:p>
        </w:tc>
      </w:tr>
      <w:tr>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13">
              <w:r>
                <w:rPr>
                  <w:color w:val="005EB8"/>
                </w:rPr>
                <w:t xml:space="preserve">13.  Your information rights</w:t>
              </w:r>
            </w:hyperlink>
          </w:p>
        </w:tc>
        <w:tc>
          <w:tcPr>
            <w:tcW w:type="dxa" w:w="4753"/>
            <w:tcBorders>
              <w:top w:val="none" w:color="FFFFFF" w:sz="0"/>
              <w:left w:val="none" w:color="FFFFFF" w:sz="0"/>
              <w:bottom w:val="none" w:color="FFFFFF" w:sz="0"/>
              <w:right w:val="none" w:color="FFFFFF" w:sz="0"/>
            </w:tcBorders>
            <w:tcMar>
              <w:top w:type="dxa" w:w="0"/>
              <w:left w:type="dxa" w:w="0"/>
              <w:bottom w:type="dxa" w:w="0"/>
              <w:right w:type="dxa" w:w="200"/>
            </w:tcMar>
          </w:tcPr>
          <w:p>
            <w:pPr>
              <w:spacing w:after="90"/>
            </w:pPr>
            <w:hyperlink w:history="1" w:anchor="sec_AppendixB">
              <w:r>
                <w:rPr>
                  <w:color w:val="005EB8"/>
                </w:rPr>
                <w:t xml:space="preserve">Appendix B  How we use your information (waiting room poster)</w:t>
              </w:r>
            </w:hyperlink>
          </w:p>
        </w:tc>
      </w:tr>
    </w:tbl>
    <w:p>
      <w:pPr>
        <w:spacing w:after="240"/>
      </w:pPr>
    </w:p>
    <w:p>
      <w:pPr>
        <w:pStyle w:val="Heading2"/>
      </w:pPr>
      <w:r>
        <w:t xml:space="preserve">Data protection requirements for an individual’s right to be informed (UK GDPR Article 13)</w:t>
      </w:r>
    </w:p>
    <w:p>
      <w:r>
        <w:t xml:space="preserve">We understand how important it is to keep your personal information safe and secure and we take this very seriously. We have taken steps to make sure your personal information is looked after in the best possible way and we review this regularly.</w:t>
      </w:r>
    </w:p>
    <w:p>
      <w:r>
        <w:t xml:space="preserve">Please read this privacy notice (‘Privacy Notice’) carefully, as it contains important information about how we use the personal and healthcare information we collect on your behalf.</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9506"/>
      </w:tblGrid>
      <w:tr>
        <w:trPr>
          <w:cantSplit/>
        </w:trPr>
        <w:tc>
          <w:tcPr>
            <w:tcW w:type="dxa" w:w="9506"/>
            <w:tcBorders>
              <w:top w:val="none" w:color="FFFFFF" w:sz="0"/>
              <w:left w:val="single" w:color="005EB8" w:sz="24"/>
              <w:bottom w:val="none" w:color="FFFFFF" w:sz="0"/>
              <w:right w:val="none" w:color="FFFFFF" w:sz="0"/>
            </w:tcBorders>
            <w:shd w:fill="EEF4FA" w:color="auto" w:val="clear"/>
            <w:tcMar>
              <w:top w:type="dxa" w:w="140"/>
              <w:left w:type="dxa" w:w="240"/>
              <w:bottom w:type="dxa" w:w="140"/>
              <w:right w:type="dxa" w:w="240"/>
            </w:tcMar>
          </w:tcPr>
          <w:p>
            <w:pPr>
              <w:spacing w:after="40"/>
            </w:pPr>
            <w:r>
              <w:t xml:space="preserve">A poster explaining how we handle your data is displayed in our waiting rooms and is attached at the back of this notice (Appendix B).</w:t>
            </w:r>
          </w:p>
        </w:tc>
      </w:tr>
    </w:tbl>
    <w:p>
      <w:pPr>
        <w:spacing w:after="0"/>
      </w:pPr>
    </w:p>
    <w:p>
      <w:pPr>
        <w:pStyle w:val="Heading1"/>
        <w:keepNext/>
      </w:pPr>
      <w:bookmarkStart w:name="sec_1" w:id="101"/>
      <w:r>
        <w:t xml:space="preserve">1.  About us</w:t>
      </w:r>
      <w:bookmarkEnd w:id="101"/>
    </w:p>
    <w:p>
      <w:r>
        <w:t xml:space="preserve">We are The Maples Health Centre, and we are the data controller for the information we hold about you. A data controller is the organisation that makes decisions about the personal data that is being collected and processed and we are ultimately in charge of and responsible for the processing.</w:t>
      </w:r>
    </w:p>
    <w:p>
      <w:r>
        <w:t xml:space="preserve">You can contact us in relation to this policy and any queries about it and/or to access your rights by contacting us using the details below.</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9506"/>
      </w:tblGrid>
      <w:tr>
        <w:trPr>
          <w:cantSplit/>
        </w:trPr>
        <w:tc>
          <w:tcPr>
            <w:tcW w:type="dxa" w:w="9506"/>
            <w:tcBorders>
              <w:top w:val="none" w:color="FFFFFF" w:sz="0"/>
              <w:left w:val="single" w:color="005EB8" w:sz="24"/>
              <w:bottom w:val="none" w:color="FFFFFF" w:sz="0"/>
              <w:right w:val="none" w:color="FFFFFF" w:sz="0"/>
            </w:tcBorders>
            <w:shd w:fill="EEF4FA" w:color="auto" w:val="clear"/>
            <w:tcMar>
              <w:top w:type="dxa" w:w="140"/>
              <w:left w:type="dxa" w:w="240"/>
              <w:bottom w:type="dxa" w:w="140"/>
              <w:right w:type="dxa" w:w="240"/>
            </w:tcMar>
          </w:tcPr>
          <w:p>
            <w:pPr>
              <w:spacing w:after="40"/>
            </w:pPr>
            <w:r>
              <w:rPr>
                <w:b/>
                <w:bCs/>
              </w:rPr>
              <w:t xml:space="preserve">The Maples Health Centre</w:t>
            </w:r>
          </w:p>
          <w:p>
            <w:pPr>
              <w:spacing w:after="40"/>
            </w:pPr>
            <w:r>
              <w:t xml:space="preserve">Vancouver Road, Broxbourne, Herts EN10 6FD</w:t>
            </w:r>
          </w:p>
          <w:p>
            <w:pPr>
              <w:spacing w:after="40"/>
            </w:pPr>
            <w:r>
              <w:t xml:space="preserve">Telephone: 01992 450040</w:t>
            </w:r>
          </w:p>
        </w:tc>
      </w:tr>
    </w:tbl>
    <w:p>
      <w:pPr>
        <w:spacing w:after="0"/>
      </w:pPr>
    </w:p>
    <w:p>
      <w:r>
        <w:t xml:space="preserve">Please use these details should you wish to speak to our Data Protection Officer.</w:t>
      </w:r>
    </w:p>
    <w:p>
      <w:r>
        <w:t xml:space="preserve">We are registered with the Information Commissioner’s Office (ICO) and our registration number is </w:t>
      </w:r>
      <w:r>
        <w:rPr>
          <w:b/>
          <w:bCs/>
        </w:rPr>
        <w:t xml:space="preserve">Z5313452</w:t>
      </w:r>
      <w:r>
        <w:t xml:space="preserve">.</w:t>
      </w:r>
    </w:p>
    <w:p>
      <w:r>
        <w:t xml:space="preserve">At The Maples Health Centre, we are committed to protecting and respecting your privacy, informing you of your rights under data protection legislation and giving you access to these rights.</w:t>
      </w:r>
    </w:p>
    <w:p>
      <w:r>
        <w:t xml:space="preserve">This Privacy Notice sets out important details about information that The Maples Health Centre and staff responsible for your care and treatment may collect and hold about you, how that information may be used and your legal rights. We will review this Privacy Notice on a regular basis, and we advise you to check back on our website for the latest version.</w:t>
      </w:r>
    </w:p>
    <w:p>
      <w:pPr>
        <w:pStyle w:val="Heading1"/>
        <w:keepNext/>
      </w:pPr>
      <w:bookmarkStart w:name="sec_2" w:id="102"/>
      <w:r>
        <w:t xml:space="preserve">2.  Who has information about me?</w:t>
      </w:r>
      <w:bookmarkEnd w:id="102"/>
    </w:p>
    <w:p>
      <w:r>
        <w:t xml:space="preserve">For your healthcare, several care providers hold and share information about you, to provide safe and effective care. In our locality, for example, this includes Hertfordshire Community Trust (HCT District Nurses / Hospital@Home).</w:t>
      </w:r>
    </w:p>
    <w:p>
      <w:r>
        <w:t xml:space="preserve">Information is shared for your direct care purposes. There may be instances where we are required under legislation to share information, but we will only do so if we have a legal basis.</w:t>
      </w:r>
    </w:p>
    <w:p>
      <w:pPr>
        <w:pStyle w:val="Heading1"/>
        <w:keepNext/>
      </w:pPr>
      <w:bookmarkStart w:name="sec_3" w:id="103"/>
      <w:r>
        <w:t xml:space="preserve">3.  Information we hold about you</w:t>
      </w:r>
      <w:bookmarkEnd w:id="103"/>
    </w:p>
    <w:p>
      <w:r>
        <w:t xml:space="preserve">We hold two types of data about you.</w:t>
      </w:r>
    </w:p>
    <w:p>
      <w:pPr>
        <w:pStyle w:val="Heading2"/>
        <w:keepNext/>
      </w:pPr>
      <w:r>
        <w:t xml:space="preserve">a) Personal data (data which identifies you)</w:t>
      </w:r>
    </w:p>
    <w:p>
      <w:pPr>
        <w:pStyle w:val="ListParagraph"/>
        <w:numPr>
          <w:ilvl w:val="0"/>
          <w:numId w:val="2"/>
        </w:numPr>
      </w:pPr>
      <w:r>
        <w:t xml:space="preserve">Personal data only includes information relating to natural persons, i.e. name, phone number, email address, address, date of birth, etc.</w:t>
      </w:r>
    </w:p>
    <w:p>
      <w:pPr>
        <w:pStyle w:val="ListParagraph"/>
        <w:numPr>
          <w:ilvl w:val="0"/>
          <w:numId w:val="2"/>
        </w:numPr>
      </w:pPr>
      <w:r>
        <w:t xml:space="preserve">Personal data may also include special categories of personal data or criminal conviction and offences data. These are more sensitive, and The Maples Health Centre may only process them in more limited circumstances.</w:t>
      </w:r>
    </w:p>
    <w:p>
      <w:pPr>
        <w:pStyle w:val="ListParagraph"/>
        <w:numPr>
          <w:ilvl w:val="0"/>
          <w:numId w:val="2"/>
        </w:numPr>
      </w:pPr>
      <w:r>
        <w:t xml:space="preserve">Pseudonymised data can help reduce privacy risks by making it more difficult to identify individuals, but it is still personal data.</w:t>
      </w:r>
    </w:p>
    <w:p>
      <w:pPr>
        <w:pStyle w:val="Heading2"/>
        <w:keepNext/>
      </w:pPr>
      <w:r>
        <w:t xml:space="preserve">b) Special category (sensitive) data</w:t>
      </w:r>
    </w:p>
    <w:p>
      <w:r>
        <w:t xml:space="preserve">This sort of data could include:</w:t>
      </w:r>
    </w:p>
    <w:p>
      <w:pPr>
        <w:pStyle w:val="ListParagraph"/>
        <w:numPr>
          <w:ilvl w:val="0"/>
          <w:numId w:val="2"/>
        </w:numPr>
      </w:pPr>
      <w:r>
        <w:t xml:space="preserve">racial or ethnic origin</w:t>
      </w:r>
    </w:p>
    <w:p>
      <w:pPr>
        <w:pStyle w:val="ListParagraph"/>
        <w:numPr>
          <w:ilvl w:val="0"/>
          <w:numId w:val="2"/>
        </w:numPr>
      </w:pPr>
      <w:r>
        <w:t xml:space="preserve">political opinions</w:t>
      </w:r>
    </w:p>
    <w:p>
      <w:pPr>
        <w:pStyle w:val="ListParagraph"/>
        <w:numPr>
          <w:ilvl w:val="0"/>
          <w:numId w:val="2"/>
        </w:numPr>
      </w:pPr>
      <w:r>
        <w:t xml:space="preserve">religious or philosophical beliefs</w:t>
      </w:r>
    </w:p>
    <w:p>
      <w:pPr>
        <w:pStyle w:val="ListParagraph"/>
        <w:numPr>
          <w:ilvl w:val="0"/>
          <w:numId w:val="2"/>
        </w:numPr>
      </w:pPr>
      <w:r>
        <w:t xml:space="preserve">trade union membership</w:t>
      </w:r>
    </w:p>
    <w:p>
      <w:pPr>
        <w:pStyle w:val="ListParagraph"/>
        <w:numPr>
          <w:ilvl w:val="0"/>
          <w:numId w:val="2"/>
        </w:numPr>
      </w:pPr>
      <w:r>
        <w:t xml:space="preserve">genetic data</w:t>
      </w:r>
    </w:p>
    <w:p>
      <w:pPr>
        <w:pStyle w:val="ListParagraph"/>
        <w:numPr>
          <w:ilvl w:val="0"/>
          <w:numId w:val="2"/>
        </w:numPr>
      </w:pPr>
      <w:r>
        <w:t xml:space="preserve">biometric data (where used for identification purposes)</w:t>
      </w:r>
    </w:p>
    <w:p>
      <w:pPr>
        <w:pStyle w:val="ListParagraph"/>
        <w:numPr>
          <w:ilvl w:val="0"/>
          <w:numId w:val="2"/>
        </w:numPr>
      </w:pPr>
      <w:r>
        <w:t xml:space="preserve">health</w:t>
      </w:r>
    </w:p>
    <w:p>
      <w:pPr>
        <w:pStyle w:val="ListParagraph"/>
        <w:numPr>
          <w:ilvl w:val="0"/>
          <w:numId w:val="2"/>
        </w:numPr>
      </w:pPr>
      <w:r>
        <w:t xml:space="preserve">sex life</w:t>
      </w:r>
    </w:p>
    <w:p>
      <w:pPr>
        <w:pStyle w:val="ListParagraph"/>
        <w:numPr>
          <w:ilvl w:val="0"/>
          <w:numId w:val="2"/>
        </w:numPr>
      </w:pPr>
      <w:r>
        <w:t xml:space="preserve">sexual orientation</w:t>
      </w:r>
    </w:p>
    <w:p>
      <w:pPr>
        <w:pStyle w:val="Heading1"/>
        <w:keepNext/>
      </w:pPr>
      <w:bookmarkStart w:name="sec_4" w:id="104"/>
      <w:r>
        <w:t xml:space="preserve">4.  How we collect your information</w:t>
      </w:r>
      <w:bookmarkEnd w:id="104"/>
    </w:p>
    <w:p>
      <w:r>
        <w:t xml:space="preserve">The information we collect and process about you has either been provided by you or by others involved in your care and treatment (i.e. hospital, community, employers).</w:t>
      </w:r>
    </w:p>
    <w:p>
      <w:r>
        <w:t xml:space="preserve">This is likely to include your personal data (see section 3a). We may also hold more sensitive information about you (see section 3b).</w:t>
      </w:r>
    </w:p>
    <w:p>
      <w:r>
        <w:t xml:space="preserve">We may collect information from you when:</w:t>
      </w:r>
    </w:p>
    <w:p>
      <w:pPr>
        <w:pStyle w:val="ListParagraph"/>
        <w:numPr>
          <w:ilvl w:val="0"/>
          <w:numId w:val="3"/>
        </w:numPr>
      </w:pPr>
      <w:r>
        <w:t xml:space="preserve">You contact us via telephone calls, which may be recorded and retained for a limited period for training and monitoring purposes and to help improve our services.</w:t>
      </w:r>
    </w:p>
    <w:p>
      <w:pPr>
        <w:pStyle w:val="ListParagraph"/>
        <w:numPr>
          <w:ilvl w:val="0"/>
          <w:numId w:val="3"/>
        </w:numPr>
      </w:pPr>
      <w:r>
        <w:t xml:space="preserve">You communicate with us via email, social media or our website.</w:t>
      </w:r>
    </w:p>
    <w:p>
      <w:pPr>
        <w:pStyle w:val="ListParagraph"/>
        <w:numPr>
          <w:ilvl w:val="0"/>
          <w:numId w:val="3"/>
        </w:numPr>
      </w:pPr>
      <w:r>
        <w:t xml:space="preserve">You visit the practice for an appointment.</w:t>
      </w:r>
    </w:p>
    <w:p>
      <w:r>
        <w:t xml:space="preserve">Sometimes we obtain information about you from:</w:t>
      </w:r>
    </w:p>
    <w:p>
      <w:pPr>
        <w:pStyle w:val="ListParagraph"/>
        <w:numPr>
          <w:ilvl w:val="0"/>
          <w:numId w:val="2"/>
        </w:numPr>
      </w:pPr>
      <w:r>
        <w:t xml:space="preserve">other health care providers</w:t>
      </w:r>
    </w:p>
    <w:p>
      <w:pPr>
        <w:pStyle w:val="ListParagraph"/>
        <w:numPr>
          <w:ilvl w:val="0"/>
          <w:numId w:val="2"/>
        </w:numPr>
      </w:pPr>
      <w:r>
        <w:t xml:space="preserve">credit reference agencies</w:t>
      </w:r>
    </w:p>
    <w:p>
      <w:pPr>
        <w:pStyle w:val="ListParagraph"/>
        <w:numPr>
          <w:ilvl w:val="0"/>
          <w:numId w:val="2"/>
        </w:numPr>
      </w:pPr>
      <w:r>
        <w:t xml:space="preserve">debt collection agencies, and</w:t>
      </w:r>
    </w:p>
    <w:p>
      <w:pPr>
        <w:pStyle w:val="ListParagraph"/>
        <w:numPr>
          <w:ilvl w:val="0"/>
          <w:numId w:val="2"/>
        </w:numPr>
      </w:pPr>
      <w:r>
        <w:t xml:space="preserve">government agencies such as HMRC or the Home Office.</w:t>
      </w:r>
    </w:p>
    <w:p>
      <w:pPr>
        <w:pStyle w:val="Heading1"/>
        <w:keepNext/>
      </w:pPr>
      <w:bookmarkStart w:name="sec_5" w:id="105"/>
      <w:r>
        <w:t xml:space="preserve">5.  How we use your information</w:t>
      </w:r>
      <w:bookmarkEnd w:id="105"/>
    </w:p>
    <w:p>
      <w:r>
        <w:t xml:space="preserve">We use information about you in connection with:</w:t>
      </w:r>
    </w:p>
    <w:p>
      <w:pPr>
        <w:pStyle w:val="ListParagraph"/>
        <w:numPr>
          <w:ilvl w:val="0"/>
          <w:numId w:val="2"/>
        </w:numPr>
      </w:pPr>
      <w:r>
        <w:t xml:space="preserve">treatment and/or care</w:t>
      </w:r>
    </w:p>
    <w:p>
      <w:pPr>
        <w:pStyle w:val="ListParagraph"/>
        <w:numPr>
          <w:ilvl w:val="0"/>
          <w:numId w:val="2"/>
        </w:numPr>
      </w:pPr>
      <w:r>
        <w:t xml:space="preserve">tests or assessments</w:t>
      </w:r>
    </w:p>
    <w:p>
      <w:pPr>
        <w:pStyle w:val="ListParagraph"/>
        <w:numPr>
          <w:ilvl w:val="0"/>
          <w:numId w:val="2"/>
        </w:numPr>
      </w:pPr>
      <w:r>
        <w:t xml:space="preserve">medical examinations, and</w:t>
      </w:r>
    </w:p>
    <w:p>
      <w:pPr>
        <w:pStyle w:val="ListParagraph"/>
        <w:numPr>
          <w:ilvl w:val="0"/>
          <w:numId w:val="2"/>
        </w:numPr>
      </w:pPr>
      <w:r>
        <w:t xml:space="preserve">participant identification for medical research.</w:t>
      </w:r>
    </w:p>
    <w:p>
      <w:r>
        <w:t xml:space="preserve">We may use your phone number (or email address where you have provided it to us) to contact you in advance of an appointment for reasons connected with your care or treatment. Where you have provided us with your mobile number or email address, we may send you confirmations/reminders of your appointments via text message or email and we may respond to your email enquiries via email.</w:t>
      </w:r>
    </w:p>
    <w:p>
      <w:r>
        <w:t xml:space="preserve">We may also use information about you for:</w:t>
      </w:r>
    </w:p>
    <w:p>
      <w:pPr>
        <w:pStyle w:val="ListParagraph"/>
        <w:numPr>
          <w:ilvl w:val="0"/>
          <w:numId w:val="2"/>
        </w:numPr>
      </w:pPr>
      <w:r>
        <w:t xml:space="preserve">quality assurance</w:t>
      </w:r>
    </w:p>
    <w:p>
      <w:pPr>
        <w:pStyle w:val="ListParagraph"/>
        <w:numPr>
          <w:ilvl w:val="0"/>
          <w:numId w:val="2"/>
        </w:numPr>
      </w:pPr>
      <w:r>
        <w:t xml:space="preserve">maintaining our business records</w:t>
      </w:r>
    </w:p>
    <w:p>
      <w:pPr>
        <w:pStyle w:val="ListParagraph"/>
        <w:numPr>
          <w:ilvl w:val="0"/>
          <w:numId w:val="2"/>
        </w:numPr>
      </w:pPr>
      <w:r>
        <w:t xml:space="preserve">developing and improving our products and services, and</w:t>
      </w:r>
    </w:p>
    <w:p>
      <w:pPr>
        <w:pStyle w:val="ListParagraph"/>
        <w:numPr>
          <w:ilvl w:val="0"/>
          <w:numId w:val="2"/>
        </w:numPr>
      </w:pPr>
      <w:r>
        <w:t xml:space="preserve">monitoring outcomes where we believe there is a business need to do so and our use of information about you does not cause harm to you.</w:t>
      </w:r>
    </w:p>
    <w:p>
      <w:r>
        <w:t xml:space="preserve">This may include our staff planning and workload management systems to help support our staff and clinicians to develop and plan the most appropriate levels of care to our patients and to ensure we have got the right levels of productivity and efficiency and good outcomes for patients.</w:t>
      </w:r>
    </w:p>
    <w:p>
      <w:r>
        <w:t xml:space="preserve">We may also use information about you where there is a legal or regulatory obligation on us to do so (such as the prevention of fraud or safeguarding) or in connection with legal proceedings.</w:t>
      </w:r>
    </w:p>
    <w:p>
      <w:r>
        <w:t xml:space="preserve">We may also use information about you where you have provided your consent to us doing so.</w:t>
      </w:r>
    </w:p>
    <w:p>
      <w:pPr>
        <w:pStyle w:val="Heading2"/>
        <w:keepNext/>
      </w:pPr>
      <w:r>
        <w:t xml:space="preserve">Artificial intelligence used in the practice</w:t>
      </w:r>
    </w:p>
    <w:p>
      <w:r>
        <w:t xml:space="preserve">We do not currently carry out any AI automated decision making, profiling or transcription tools on patient held data.</w:t>
      </w:r>
    </w:p>
    <w:p>
      <w:pPr>
        <w:pStyle w:val="Heading3"/>
        <w:keepNext/>
      </w:pPr>
      <w:r>
        <w:t xml:space="preserve">Accurx Smart Patient Triage</w:t>
      </w:r>
    </w:p>
    <w:p>
      <w:r>
        <w:t xml:space="preserve">When you submit a medical request using our online form (provided by Accurx), an artificial intelligence (AI) tool may read the description you type and ask you up to five optional follow-up questions, so that the clinician reviewing your request has the information they need. The AI only uses what you have written in the form. It does not access your medical record, does not make any decisions about your care, and your information is not used to train the AI. All requests are reviewed by a member of our clinical team. You do not need to complete the additional AI-generated questions. If you would prefer not to use the online form, you can contact the practice by telephone or in person.</w:t>
      </w:r>
    </w:p>
    <w:p>
      <w:pPr>
        <w:pStyle w:val="Heading1"/>
        <w:keepNext/>
      </w:pPr>
      <w:bookmarkStart w:name="sec_6" w:id="106"/>
      <w:r>
        <w:t xml:space="preserve">6.  Staff access to your personal and sensitive data</w:t>
      </w:r>
      <w:bookmarkEnd w:id="106"/>
    </w:p>
    <w:p>
      <w:r>
        <w:t xml:space="preserve">We carefully control who has access to your information. Staff only have access where they are required to do so to provide direct care or support (i.e. receptionist and secretary). Where possible we limit the access that staff have on our clinical systems. We also carry out spot checks and audits to see if there has been any inappropriate access. Where that occurs, disciplinary action may be taken against the staff, and in serious cases court action. If a data breach includes access to your information, we will contact you. We also have an obligation, if it is a serious data breach, to inform the Information Commissioner’s Office.</w:t>
      </w:r>
    </w:p>
    <w:p>
      <w:r>
        <w:t xml:space="preserve">In order to reduce the risk of a data breach we have in place robust policies and procedures, and we carry out training for all staff on an annual basis.</w:t>
      </w:r>
    </w:p>
    <w:p>
      <w:r>
        <w:t xml:space="preserve">All clinical staff providing direct care are registered with the appropriate professional and regulatory bodies, i.e. GMC, NMC, CSP, and have a responsibility to uphold the highest standards when handling patient/client information.</w:t>
      </w:r>
    </w:p>
    <w:p>
      <w:pPr>
        <w:pStyle w:val="Heading1"/>
        <w:keepNext/>
      </w:pPr>
      <w:bookmarkStart w:name="sec_7" w:id="107"/>
      <w:r>
        <w:t xml:space="preserve">7.  How we keep your information safe and secure</w:t>
      </w:r>
      <w:bookmarkEnd w:id="107"/>
    </w:p>
    <w:p>
      <w:pPr>
        <w:pStyle w:val="ListParagraph"/>
        <w:numPr>
          <w:ilvl w:val="0"/>
          <w:numId w:val="2"/>
        </w:numPr>
      </w:pPr>
      <w:r>
        <w:t xml:space="preserve">The Maples Health Centre is required to complete the NHS Digital Data Security &amp; Protection Toolkit. This is a tool that provides assurance that we are meeting standards on handling patient/client information.</w:t>
      </w:r>
    </w:p>
    <w:p>
      <w:pPr>
        <w:pStyle w:val="ListParagraph"/>
        <w:numPr>
          <w:ilvl w:val="0"/>
          <w:numId w:val="2"/>
        </w:numPr>
      </w:pPr>
      <w:r>
        <w:t xml:space="preserve">We have Data Protection Policies in place to ensure staff understand what they must or must not do with patient/client data.</w:t>
      </w:r>
    </w:p>
    <w:p>
      <w:pPr>
        <w:pStyle w:val="ListParagraph"/>
        <w:numPr>
          <w:ilvl w:val="0"/>
          <w:numId w:val="2"/>
        </w:numPr>
      </w:pPr>
      <w:r>
        <w:t xml:space="preserve">Staff are required to complete induction training in Information Governance and to complete annual update training.</w:t>
      </w:r>
    </w:p>
    <w:p>
      <w:pPr>
        <w:pStyle w:val="ListParagraph"/>
        <w:numPr>
          <w:ilvl w:val="0"/>
          <w:numId w:val="2"/>
        </w:numPr>
      </w:pPr>
      <w:r>
        <w:t xml:space="preserve">Spot checks are carried out across the practice.</w:t>
      </w:r>
    </w:p>
    <w:p>
      <w:pPr>
        <w:pStyle w:val="ListParagraph"/>
        <w:numPr>
          <w:ilvl w:val="0"/>
          <w:numId w:val="2"/>
        </w:numPr>
      </w:pPr>
      <w:r>
        <w:t xml:space="preserve">Our IT is managed by ITS Digital, an IT team who ensure that all safeguards are in place so that data held on IT systems is protected and secure from unauthorised access, loss or damage, and who hold a Cyber Security Plus certification.</w:t>
      </w:r>
    </w:p>
    <w:p>
      <w:pPr>
        <w:pStyle w:val="ListParagraph"/>
        <w:numPr>
          <w:ilvl w:val="0"/>
          <w:numId w:val="2"/>
        </w:numPr>
      </w:pPr>
      <w:r>
        <w:t xml:space="preserve">Passwords are changed on a regular basis.</w:t>
      </w:r>
    </w:p>
    <w:p>
      <w:pPr>
        <w:pStyle w:val="ListParagraph"/>
        <w:numPr>
          <w:ilvl w:val="0"/>
          <w:numId w:val="2"/>
        </w:numPr>
      </w:pPr>
      <w:r>
        <w:t xml:space="preserve">Where incidents do happen, our investigations will include actions we take, and lessons learnt.</w:t>
      </w:r>
    </w:p>
    <w:p>
      <w:pPr>
        <w:pStyle w:val="Heading1"/>
        <w:keepNext/>
      </w:pPr>
      <w:bookmarkStart w:name="sec_8" w:id="108"/>
      <w:r>
        <w:t xml:space="preserve">8.  Sharing your information</w:t>
      </w:r>
      <w:bookmarkEnd w:id="108"/>
    </w:p>
    <w:p>
      <w:r>
        <w:t xml:space="preserve">We set out these reasons for sharing your information below and assure you that in each case, we share only such information as is appropriate, necessary and proportionate.</w:t>
      </w:r>
    </w:p>
    <w:p>
      <w:pPr>
        <w:pStyle w:val="ListParagraph"/>
        <w:numPr>
          <w:ilvl w:val="0"/>
          <w:numId w:val="4"/>
        </w:numPr>
      </w:pPr>
      <w:r>
        <w:t xml:space="preserve">We will share your medical information with those involved in your health assessment, care or treatment (such as doctors, nurses and physiotherapists) for direct care purposes. Some of our nursing staff and the resident doctors in our practice are provided by specialist staffing agencies. We ensure there is a single patient record for each patient who is seen at our practice.</w:t>
      </w:r>
    </w:p>
    <w:p>
      <w:pPr>
        <w:pStyle w:val="ListParagraph"/>
        <w:numPr>
          <w:ilvl w:val="0"/>
          <w:numId w:val="4"/>
        </w:numPr>
      </w:pPr>
      <w:r>
        <w:t xml:space="preserve">We will also share information about you with other members of staff involved in the delivery of your direct care for administration purposes (such as our medical secretaries and receptionists). This will be limited to what is required for them to fulfil their role.</w:t>
      </w:r>
    </w:p>
    <w:p>
      <w:pPr>
        <w:pStyle w:val="ListParagraph"/>
        <w:numPr>
          <w:ilvl w:val="0"/>
          <w:numId w:val="4"/>
        </w:numPr>
      </w:pPr>
      <w:r>
        <w:t xml:space="preserve">Local NHS hospitals and independent pathology/clinical laboratory services provide The Maples Health Centre with support services (such as blood tests) and we may share information about you with these hospitals where required in connection with your care.</w:t>
      </w:r>
    </w:p>
    <w:p>
      <w:pPr>
        <w:pStyle w:val="ListParagraph"/>
        <w:numPr>
          <w:ilvl w:val="0"/>
          <w:numId w:val="4"/>
        </w:numPr>
      </w:pPr>
      <w:r>
        <w:t xml:space="preserve">We may also share relevant parts of your medical information with your dentist, other private organisations and the organisation paying for your treatment (for example your insurance company). For our health assessment clients who come to us through their employer’s health assessment benefit scheme, please be assured that we will not share your medical information with your employer without your consent.</w:t>
      </w:r>
    </w:p>
    <w:p>
      <w:pPr>
        <w:pStyle w:val="ListParagraph"/>
        <w:numPr>
          <w:ilvl w:val="0"/>
          <w:numId w:val="4"/>
        </w:numPr>
      </w:pPr>
      <w:r>
        <w:t xml:space="preserve">We may share information about you with anyone you have asked us to communicate with or whose details you have provided as an emergency contact (such as your next of kin).</w:t>
      </w:r>
    </w:p>
    <w:p>
      <w:pPr>
        <w:pStyle w:val="Heading1"/>
        <w:keepNext/>
      </w:pPr>
      <w:bookmarkStart w:name="sec_9" w:id="109"/>
      <w:r>
        <w:t xml:space="preserve">9.  Sharing information with third parties and regulators</w:t>
      </w:r>
      <w:bookmarkEnd w:id="109"/>
    </w:p>
    <w:p>
      <w:pPr>
        <w:pStyle w:val="Heading2"/>
        <w:keepNext/>
      </w:pPr>
      <w:r>
        <w:t xml:space="preserve">9A  Sharing information with third parties who are not involved in your health assessment, care or treatment</w:t>
      </w:r>
    </w:p>
    <w:p>
      <w:r>
        <w:t xml:space="preserve">We may share information about you with external organisations such as:</w:t>
      </w:r>
    </w:p>
    <w:p>
      <w:pPr>
        <w:pStyle w:val="ListParagraph"/>
        <w:numPr>
          <w:ilvl w:val="0"/>
          <w:numId w:val="2"/>
        </w:numPr>
      </w:pPr>
      <w:r>
        <w:t xml:space="preserve">our lawyers</w:t>
      </w:r>
    </w:p>
    <w:p>
      <w:pPr>
        <w:pStyle w:val="ListParagraph"/>
        <w:numPr>
          <w:ilvl w:val="0"/>
          <w:numId w:val="2"/>
        </w:numPr>
      </w:pPr>
      <w:r>
        <w:t xml:space="preserve">auditors</w:t>
      </w:r>
    </w:p>
    <w:p>
      <w:pPr>
        <w:pStyle w:val="ListParagraph"/>
        <w:numPr>
          <w:ilvl w:val="0"/>
          <w:numId w:val="2"/>
        </w:numPr>
      </w:pPr>
      <w:r>
        <w:t xml:space="preserve">insurance companies</w:t>
      </w:r>
    </w:p>
    <w:p>
      <w:pPr>
        <w:pStyle w:val="ListParagraph"/>
        <w:numPr>
          <w:ilvl w:val="0"/>
          <w:numId w:val="2"/>
        </w:numPr>
      </w:pPr>
      <w:r>
        <w:t xml:space="preserve">medical research companies</w:t>
      </w:r>
    </w:p>
    <w:p>
      <w:pPr>
        <w:pStyle w:val="ListParagraph"/>
        <w:numPr>
          <w:ilvl w:val="0"/>
          <w:numId w:val="2"/>
        </w:numPr>
      </w:pPr>
      <w:r>
        <w:t xml:space="preserve">NHS organisations, and</w:t>
      </w:r>
    </w:p>
    <w:p>
      <w:pPr>
        <w:pStyle w:val="ListParagraph"/>
        <w:numPr>
          <w:ilvl w:val="0"/>
          <w:numId w:val="2"/>
        </w:numPr>
      </w:pPr>
      <w:r>
        <w:t xml:space="preserve">regulatory bodies such as the CQC and ICO.</w:t>
      </w:r>
    </w:p>
    <w:p>
      <w:r>
        <w:t xml:space="preserve">We will only do this where we have a legal basis to do so or with your consent.</w:t>
      </w:r>
    </w:p>
    <w:p>
      <w:r>
        <w:t xml:space="preserve">We may also share information about you with third party suppliers which provide us with:</w:t>
      </w:r>
    </w:p>
    <w:p>
      <w:pPr>
        <w:pStyle w:val="ListParagraph"/>
        <w:numPr>
          <w:ilvl w:val="0"/>
          <w:numId w:val="2"/>
        </w:numPr>
      </w:pPr>
      <w:r>
        <w:t xml:space="preserve">electronic patient record systems</w:t>
      </w:r>
    </w:p>
    <w:p>
      <w:pPr>
        <w:pStyle w:val="ListParagraph"/>
        <w:numPr>
          <w:ilvl w:val="0"/>
          <w:numId w:val="2"/>
        </w:numPr>
      </w:pPr>
      <w:r>
        <w:t xml:space="preserve">radiology imaging archiving and reporting systems</w:t>
      </w:r>
    </w:p>
    <w:p>
      <w:pPr>
        <w:pStyle w:val="ListParagraph"/>
        <w:numPr>
          <w:ilvl w:val="0"/>
          <w:numId w:val="2"/>
        </w:numPr>
      </w:pPr>
      <w:r>
        <w:t xml:space="preserve">other systems.</w:t>
      </w:r>
    </w:p>
    <w:p>
      <w:r>
        <w:t xml:space="preserve">We may also share information about you with those providing us with information technology systems. This includes:</w:t>
      </w:r>
    </w:p>
    <w:p>
      <w:pPr>
        <w:pStyle w:val="ListParagraph"/>
        <w:numPr>
          <w:ilvl w:val="0"/>
          <w:numId w:val="2"/>
        </w:numPr>
      </w:pPr>
      <w:r>
        <w:t xml:space="preserve">an incident management and recording system</w:t>
      </w:r>
    </w:p>
    <w:p>
      <w:pPr>
        <w:pStyle w:val="ListParagraph"/>
        <w:numPr>
          <w:ilvl w:val="0"/>
          <w:numId w:val="2"/>
        </w:numPr>
      </w:pPr>
      <w:r>
        <w:t xml:space="preserve">a system for electronic prescribing, and</w:t>
      </w:r>
    </w:p>
    <w:p>
      <w:pPr>
        <w:pStyle w:val="ListParagraph"/>
        <w:numPr>
          <w:ilvl w:val="0"/>
          <w:numId w:val="2"/>
        </w:numPr>
      </w:pPr>
      <w:r>
        <w:t xml:space="preserve">other clinical and non-clinical software applications (and related services).</w:t>
      </w:r>
    </w:p>
    <w:p>
      <w:r>
        <w:t xml:space="preserve">In each case, we would share only such information as was relevant, necessary and proportionate.</w:t>
      </w:r>
    </w:p>
    <w:p>
      <w:pPr>
        <w:pStyle w:val="Heading2"/>
        <w:keepNext/>
      </w:pPr>
      <w:r>
        <w:t xml:space="preserve">9B  Sharing with regulators or because of a legal obligation</w:t>
      </w:r>
    </w:p>
    <w:p>
      <w:r>
        <w:t xml:space="preserve">We may share information about you with our regulators, including the:</w:t>
      </w:r>
    </w:p>
    <w:p>
      <w:pPr>
        <w:pStyle w:val="ListParagraph"/>
        <w:numPr>
          <w:ilvl w:val="0"/>
          <w:numId w:val="2"/>
        </w:numPr>
      </w:pPr>
      <w:r>
        <w:t xml:space="preserve">Care Quality Commission</w:t>
      </w:r>
    </w:p>
    <w:p>
      <w:pPr>
        <w:pStyle w:val="ListParagraph"/>
        <w:numPr>
          <w:ilvl w:val="0"/>
          <w:numId w:val="2"/>
        </w:numPr>
      </w:pPr>
      <w:r>
        <w:t xml:space="preserve">Medicines and Healthcare products Regulatory Agency (which ensures medicines and medical devices used in the UK work and are acceptably safe)</w:t>
      </w:r>
    </w:p>
    <w:p>
      <w:pPr>
        <w:pStyle w:val="ListParagraph"/>
        <w:numPr>
          <w:ilvl w:val="0"/>
          <w:numId w:val="2"/>
        </w:numPr>
      </w:pPr>
      <w:r>
        <w:t xml:space="preserve">NHS England (which leads the NHS in England) and the Department of Health (the government department responsible for health and adult social care policy)</w:t>
      </w:r>
    </w:p>
    <w:p>
      <w:pPr>
        <w:pStyle w:val="ListParagraph"/>
        <w:numPr>
          <w:ilvl w:val="0"/>
          <w:numId w:val="2"/>
        </w:numPr>
      </w:pPr>
      <w:r>
        <w:t xml:space="preserve">Health &amp; Safety Executive</w:t>
      </w:r>
    </w:p>
    <w:p>
      <w:pPr>
        <w:pStyle w:val="ListParagraph"/>
        <w:numPr>
          <w:ilvl w:val="0"/>
          <w:numId w:val="2"/>
        </w:numPr>
      </w:pPr>
      <w:r>
        <w:t xml:space="preserve">Public Health England.</w:t>
      </w:r>
    </w:p>
    <w:p>
      <w:r>
        <w:t xml:space="preserve">Sometimes, we are required to disclose information about you because we are legally required to do so. This may be because of a:</w:t>
      </w:r>
    </w:p>
    <w:p>
      <w:pPr>
        <w:pStyle w:val="ListParagraph"/>
        <w:numPr>
          <w:ilvl w:val="0"/>
          <w:numId w:val="2"/>
        </w:numPr>
      </w:pPr>
      <w:r>
        <w:t xml:space="preserve">court order, or</w:t>
      </w:r>
    </w:p>
    <w:p>
      <w:pPr>
        <w:pStyle w:val="ListParagraph"/>
        <w:numPr>
          <w:ilvl w:val="0"/>
          <w:numId w:val="2"/>
        </w:numPr>
      </w:pPr>
      <w:r>
        <w:t xml:space="preserve">regulatory body that has statutory powers to access patients’ or health assessment clients’ records as part of their duties to investigate complaints, accidents, or health professionals’ fitness to practise.</w:t>
      </w:r>
    </w:p>
    <w:p>
      <w:r>
        <w:t xml:space="preserve">Before any disclosure is made, we will satisfy ourselves that any disclosure sought is required by law or can be justified in the public interest. Information about you may also be shared with the police and other third parties where reasonably necessary for the prevention or detection of crime. On occasion, this may include the Home Office and HMRC.</w:t>
      </w:r>
    </w:p>
    <w:p>
      <w:pPr>
        <w:pStyle w:val="Heading1"/>
        <w:keepNext/>
      </w:pPr>
      <w:bookmarkStart w:name="sec_10" w:id="110"/>
      <w:r>
        <w:t xml:space="preserve">10.  Audits, surveys and initiatives</w:t>
      </w:r>
      <w:bookmarkEnd w:id="110"/>
    </w:p>
    <w:p>
      <w:r>
        <w:t xml:space="preserve">In common with all healthcare providers (both NHS and private), we also look at the quality of the care we provide:</w:t>
      </w:r>
    </w:p>
    <w:p>
      <w:pPr>
        <w:pStyle w:val="ListParagraph"/>
        <w:numPr>
          <w:ilvl w:val="0"/>
          <w:numId w:val="2"/>
        </w:numPr>
      </w:pPr>
      <w:r>
        <w:t xml:space="preserve">to patients and health assessment clients, and participate in national audits and initiatives</w:t>
      </w:r>
    </w:p>
    <w:p>
      <w:pPr>
        <w:pStyle w:val="ListParagraph"/>
        <w:numPr>
          <w:ilvl w:val="0"/>
          <w:numId w:val="2"/>
        </w:numPr>
      </w:pPr>
      <w:r>
        <w:t xml:space="preserve">to ensure that patients are getting the best possible outcomes from their treatment and care, and</w:t>
      </w:r>
    </w:p>
    <w:p>
      <w:pPr>
        <w:pStyle w:val="ListParagraph"/>
        <w:numPr>
          <w:ilvl w:val="0"/>
          <w:numId w:val="2"/>
        </w:numPr>
      </w:pPr>
      <w:r>
        <w:t xml:space="preserve">to help patients make informed choices about the care they receive.</w:t>
      </w:r>
    </w:p>
    <w:p>
      <w:r>
        <w:t xml:space="preserve">We can assure you that your personal information always remains under our control. Any information we provide for national audits and initiatives outside of The Maples Health Centre will not contain any information in which any patient can be identified unless it is required by law. Any publishing of this data will be in anonymised statistical form. The practice may take part in local audits where there has been a Serious Incident in order to identify any potential clinical risks to yourself or other patients.</w:t>
      </w:r>
    </w:p>
    <w:p>
      <w:pPr>
        <w:pStyle w:val="Heading1"/>
        <w:keepNext/>
      </w:pPr>
      <w:bookmarkStart w:name="sec_11" w:id="111"/>
      <w:r>
        <w:t xml:space="preserve">11.  Legal basis for using your information</w:t>
      </w:r>
      <w:bookmarkEnd w:id="111"/>
    </w:p>
    <w:p>
      <w:r>
        <w:t xml:space="preserve">Data protection law requires that we set out the legal basis for holding and using information about you. We have set out the various reasons we use information about you and alongside each, the legal basis for doing so. Given that some information we hold about you is particularly sensitive (as described above), we need an additional legal basis which we have set out in the third column (entitled ‘legal basis for more sensitive information’) explaining our reason for this.</w:t>
      </w:r>
    </w:p>
    <w:p>
      <w:r>
        <w:t xml:space="preserve">Processing shall be lawful only if and to the extent that at least one of the following applies (UK GDPR Article 6):</w:t>
      </w:r>
    </w:p>
    <w:p>
      <w:pPr>
        <w:pStyle w:val="ListParagraph"/>
        <w:numPr>
          <w:ilvl w:val="0"/>
          <w:numId w:val="5"/>
        </w:numPr>
      </w:pPr>
      <w:r>
        <w:rPr>
          <w:b/>
          <w:bCs/>
        </w:rPr>
        <w:t xml:space="preserve">the data subject has given consent</w:t>
      </w:r>
      <w:r>
        <w:t xml:space="preserve"> to the processing of his or her personal data for one or more specific purposes.</w:t>
      </w:r>
    </w:p>
    <w:p>
      <w:pPr>
        <w:pStyle w:val="ListParagraph"/>
        <w:numPr>
          <w:ilvl w:val="0"/>
          <w:numId w:val="5"/>
        </w:numPr>
      </w:pPr>
      <w:r>
        <w:rPr>
          <w:b/>
          <w:bCs/>
        </w:rPr>
        <w:t xml:space="preserve">processing is necessary for the performance of a contract</w:t>
      </w:r>
      <w:r>
        <w:t xml:space="preserve"> to which the data subject is party or to take steps at the request of the data subject prior to entering into a contract.</w:t>
      </w:r>
    </w:p>
    <w:p>
      <w:pPr>
        <w:pStyle w:val="ListParagraph"/>
        <w:numPr>
          <w:ilvl w:val="0"/>
          <w:numId w:val="5"/>
        </w:numPr>
      </w:pPr>
      <w:r>
        <w:rPr>
          <w:b/>
          <w:bCs/>
        </w:rPr>
        <w:t xml:space="preserve">processing is necessary for compliance with a legal obligation</w:t>
      </w:r>
      <w:r>
        <w:t xml:space="preserve"> to which the controller is subject.</w:t>
      </w:r>
    </w:p>
    <w:p>
      <w:pPr>
        <w:pStyle w:val="ListParagraph"/>
        <w:numPr>
          <w:ilvl w:val="0"/>
          <w:numId w:val="5"/>
        </w:numPr>
      </w:pPr>
      <w:r>
        <w:rPr>
          <w:b/>
          <w:bCs/>
        </w:rPr>
        <w:t xml:space="preserve">processing is necessary to protect the vital interests</w:t>
      </w:r>
      <w:r>
        <w:t xml:space="preserve"> of the data subject or of another natural person.</w:t>
      </w:r>
    </w:p>
    <w:p>
      <w:pPr>
        <w:pStyle w:val="ListParagraph"/>
        <w:numPr>
          <w:ilvl w:val="0"/>
          <w:numId w:val="5"/>
        </w:numPr>
      </w:pPr>
      <w:r>
        <w:rPr>
          <w:b/>
          <w:bCs/>
        </w:rPr>
        <w:t xml:space="preserve">processing is necessary for the performance of a task</w:t>
      </w:r>
      <w:r>
        <w:t xml:space="preserve"> carried out in the public interest or in the exercise of official authority vested in the controller.</w:t>
      </w:r>
    </w:p>
    <w:p>
      <w:pPr>
        <w:pStyle w:val="ListParagraph"/>
        <w:numPr>
          <w:ilvl w:val="0"/>
          <w:numId w:val="5"/>
        </w:numPr>
      </w:pPr>
      <w:r>
        <w:rPr>
          <w:b/>
          <w:bCs/>
        </w:rPr>
        <w:t xml:space="preserve">processing is necessary for the purposes of the legitimate interests</w:t>
      </w:r>
      <w:r>
        <w:t xml:space="preserve"> pursued by the controller or by a third party, except where such interests are overridden by the interests or fundamental rights and freedoms of the data subject which require protection of personal data, in particular where the data subject is a child.</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9506"/>
      </w:tblGrid>
      <w:tr>
        <w:trPr>
          <w:cantSplit/>
        </w:trPr>
        <w:tc>
          <w:tcPr>
            <w:tcW w:type="dxa" w:w="9506"/>
            <w:tcBorders>
              <w:top w:val="none" w:color="FFFFFF" w:sz="0"/>
              <w:left w:val="single" w:color="005EB8" w:sz="24"/>
              <w:bottom w:val="none" w:color="FFFFFF" w:sz="0"/>
              <w:right w:val="none" w:color="FFFFFF" w:sz="0"/>
            </w:tcBorders>
            <w:shd w:fill="EEF4FA" w:color="auto" w:val="clear"/>
            <w:tcMar>
              <w:top w:type="dxa" w:w="140"/>
              <w:left w:type="dxa" w:w="240"/>
              <w:bottom w:type="dxa" w:w="140"/>
              <w:right w:type="dxa" w:w="240"/>
            </w:tcMar>
          </w:tcPr>
          <w:p>
            <w:pPr>
              <w:spacing w:after="40"/>
            </w:pPr>
            <w:r>
              <w:rPr>
                <w:b/>
                <w:bCs/>
              </w:rPr>
              <w:t xml:space="preserve">How we apply this</w:t>
            </w:r>
          </w:p>
          <w:p>
            <w:pPr>
              <w:spacing w:after="40"/>
            </w:pPr>
            <w:r>
              <w:t xml:space="preserve">For the purpose of delivering your direct health care within the practice and sharing your information, we use </w:t>
            </w:r>
            <w:r>
              <w:rPr>
                <w:b/>
                <w:bCs/>
              </w:rPr>
              <w:t xml:space="preserve">Article 6(1)(e)</w:t>
            </w:r>
            <w:r>
              <w:t xml:space="preserve"> of the UK GDPR (11e above).</w:t>
            </w:r>
          </w:p>
          <w:p>
            <w:pPr>
              <w:spacing w:after="40"/>
            </w:pPr>
            <w:r>
              <w:t xml:space="preserve">Where we have to share your information because we are required to do so under law, we use </w:t>
            </w:r>
            <w:r>
              <w:rPr>
                <w:b/>
                <w:bCs/>
              </w:rPr>
              <w:t xml:space="preserve">Article 6(1)(c)</w:t>
            </w:r>
            <w:r>
              <w:t xml:space="preserve"> of the UK GDPR (11c above).</w:t>
            </w:r>
          </w:p>
          <w:p>
            <w:pPr>
              <w:spacing w:after="40"/>
            </w:pPr>
            <w:r>
              <w:t xml:space="preserve">Where we process any more sensitive (special category) data, we do this on an additional legal basis under Article 9 of the UK GDPR: </w:t>
            </w:r>
            <w:r>
              <w:rPr>
                <w:b/>
                <w:bCs/>
              </w:rPr>
              <w:t xml:space="preserve">health or social care (with a basis in law)</w:t>
            </w:r>
            <w:r>
              <w:t xml:space="preserve">.</w:t>
            </w:r>
          </w:p>
        </w:tc>
      </w:tr>
    </w:tbl>
    <w:p>
      <w:pPr>
        <w:spacing w:after="0"/>
      </w:pPr>
    </w:p>
    <w:p>
      <w:pPr>
        <w:pStyle w:val="Heading1"/>
        <w:keepNext/>
      </w:pPr>
      <w:bookmarkStart w:name="sec_12" w:id="112"/>
      <w:r>
        <w:t xml:space="preserve">12.  Where and for how long we store your information</w:t>
      </w:r>
      <w:bookmarkEnd w:id="112"/>
    </w:p>
    <w:p>
      <w:r>
        <w:t xml:space="preserve">The information about you that we hold and use is held securely in the United Kingdom, stored electronically and in paper format and on secure servers. No records are stored outside the EEA.</w:t>
      </w:r>
    </w:p>
    <w:p>
      <w:r>
        <w:t xml:space="preserve">We retain your records for certain periods (depending on the record) under our retention of records policy. The Maples Health Centre follows the recommended best practice contained in the NHS Records Management Code of Practice. This is to ensure that information is properly managed and is available whenever and wherever there is a justified need for that information, including:</w:t>
      </w:r>
    </w:p>
    <w:p>
      <w:pPr>
        <w:pStyle w:val="ListParagraph"/>
        <w:numPr>
          <w:ilvl w:val="0"/>
          <w:numId w:val="2"/>
        </w:numPr>
      </w:pPr>
      <w:r>
        <w:t xml:space="preserve">to support patient care and continuity of care</w:t>
      </w:r>
    </w:p>
    <w:p>
      <w:pPr>
        <w:pStyle w:val="ListParagraph"/>
        <w:numPr>
          <w:ilvl w:val="0"/>
          <w:numId w:val="2"/>
        </w:numPr>
      </w:pPr>
      <w:r>
        <w:t xml:space="preserve">to support evidence-based clinical practice</w:t>
      </w:r>
    </w:p>
    <w:p>
      <w:pPr>
        <w:pStyle w:val="ListParagraph"/>
        <w:numPr>
          <w:ilvl w:val="0"/>
          <w:numId w:val="2"/>
        </w:numPr>
      </w:pPr>
      <w:r>
        <w:t xml:space="preserve">to assist clinical and other audits</w:t>
      </w:r>
    </w:p>
    <w:p>
      <w:pPr>
        <w:pStyle w:val="ListParagraph"/>
        <w:numPr>
          <w:ilvl w:val="0"/>
          <w:numId w:val="2"/>
        </w:numPr>
      </w:pPr>
      <w:r>
        <w:t xml:space="preserve">to support our public task, and</w:t>
      </w:r>
    </w:p>
    <w:p>
      <w:pPr>
        <w:pStyle w:val="ListParagraph"/>
        <w:numPr>
          <w:ilvl w:val="0"/>
          <w:numId w:val="2"/>
        </w:numPr>
      </w:pPr>
      <w:r>
        <w:t xml:space="preserve">to meet legal requirements.</w:t>
      </w:r>
    </w:p>
    <w:p>
      <w:r>
        <w:t xml:space="preserve">Your records may not be retained in hard copy form where a digital copy exists. If you would like more detailed information on this, please contact our Practice Manager (contact details on our website).</w:t>
      </w:r>
    </w:p>
    <w:p>
      <w:pPr>
        <w:pStyle w:val="Heading1"/>
        <w:keepNext/>
      </w:pPr>
      <w:bookmarkStart w:name="sec_13" w:id="113"/>
      <w:r>
        <w:t xml:space="preserve">13.  Your information rights</w:t>
      </w:r>
      <w:bookmarkEnd w:id="113"/>
    </w:p>
    <w:p>
      <w:r>
        <w:t xml:space="preserve">Under certain circumstances, you have rights under data protection laws in relation to any personal information that we hold about you. Please note that for some purposes, especially within health and care, some of your rights under UK GDPR have applicable exemptions. You can find out more about your rights and exemptions on the ICO website.</w:t>
      </w:r>
    </w:p>
    <w:p>
      <w:r>
        <w:t xml:space="preserve">If you wish to exercise any of the rights set out below, please contact the Practice Manager using the contact details set out above.</w:t>
      </w:r>
    </w:p>
    <w:p>
      <w:r>
        <w:t xml:space="preserve">You have:</w:t>
      </w:r>
    </w:p>
    <w:p>
      <w:pPr>
        <w:keepNext/>
        <w:spacing w:after="80" w:before="200"/>
      </w:pPr>
      <w:r>
        <w:rPr>
          <w:b/>
          <w:bCs/>
          <w:color w:val="003087"/>
        </w:rPr>
        <w:t xml:space="preserve">a.  The right to be informed</w:t>
      </w:r>
    </w:p>
    <w:p>
      <w:r>
        <w:t xml:space="preserve">This privacy notice forms part of that, but we also aim to keep you fully informed during your consultations, via posters in the practice and leaflets when appropriate.</w:t>
      </w:r>
    </w:p>
    <w:p>
      <w:pPr>
        <w:keepNext/>
        <w:spacing w:after="80" w:before="200"/>
      </w:pPr>
      <w:r>
        <w:rPr>
          <w:b/>
          <w:bCs/>
          <w:color w:val="003087"/>
        </w:rPr>
        <w:t xml:space="preserve">b.  The right to access your personal information</w:t>
      </w:r>
    </w:p>
    <w:p>
      <w:r>
        <w:t xml:space="preserve">You are usually entitled to a copy of the personal information we hold about you and details about how we use it.</w:t>
      </w:r>
    </w:p>
    <w:p>
      <w:r>
        <w:t xml:space="preserve">Your information will usually be provided to you in the form you request; if we are unable to do that, we will inform you. If you have made the request electronically (e.g. by email) the information will be provided to you by electronic means where possible.</w:t>
      </w:r>
    </w:p>
    <w:p>
      <w:r>
        <w:t xml:space="preserve">Under data protection law we must usually confirm whether we have personal information about you. If we do hold personal information about you, we usually need to explain to you:</w:t>
      </w:r>
    </w:p>
    <w:p>
      <w:pPr>
        <w:pStyle w:val="ListParagraph"/>
        <w:numPr>
          <w:ilvl w:val="0"/>
          <w:numId w:val="2"/>
        </w:numPr>
      </w:pPr>
      <w:r>
        <w:t xml:space="preserve">the purposes for which we use your personal information</w:t>
      </w:r>
    </w:p>
    <w:p>
      <w:pPr>
        <w:pStyle w:val="ListParagraph"/>
        <w:numPr>
          <w:ilvl w:val="0"/>
          <w:numId w:val="2"/>
        </w:numPr>
      </w:pPr>
      <w:r>
        <w:t xml:space="preserve">the types of personal information we hold about you</w:t>
      </w:r>
    </w:p>
    <w:p>
      <w:pPr>
        <w:pStyle w:val="ListParagraph"/>
        <w:numPr>
          <w:ilvl w:val="0"/>
          <w:numId w:val="2"/>
        </w:numPr>
      </w:pPr>
      <w:r>
        <w:t xml:space="preserve">who your personal information has been or will be shared with</w:t>
      </w:r>
    </w:p>
    <w:p>
      <w:pPr>
        <w:pStyle w:val="ListParagraph"/>
        <w:numPr>
          <w:ilvl w:val="0"/>
          <w:numId w:val="2"/>
        </w:numPr>
      </w:pPr>
      <w:r>
        <w:t xml:space="preserve">where possible, the length of time we expect to hold your personal information; if that is not possible, the criteria we use to determine how long we hold your information for</w:t>
      </w:r>
    </w:p>
    <w:p>
      <w:pPr>
        <w:pStyle w:val="ListParagraph"/>
        <w:numPr>
          <w:ilvl w:val="0"/>
          <w:numId w:val="2"/>
        </w:numPr>
      </w:pPr>
      <w:r>
        <w:t xml:space="preserve">if the personal data we hold about you was not provided by you, where we obtained the information from</w:t>
      </w:r>
    </w:p>
    <w:p>
      <w:pPr>
        <w:pStyle w:val="ListParagraph"/>
        <w:numPr>
          <w:ilvl w:val="0"/>
          <w:numId w:val="2"/>
        </w:numPr>
      </w:pPr>
      <w:r>
        <w:t xml:space="preserve">your right to ask us to amend or delete your personal information (if appropriate)</w:t>
      </w:r>
    </w:p>
    <w:p>
      <w:pPr>
        <w:pStyle w:val="ListParagraph"/>
        <w:numPr>
          <w:ilvl w:val="0"/>
          <w:numId w:val="2"/>
        </w:numPr>
      </w:pPr>
      <w:r>
        <w:t xml:space="preserve">your right to ask us to restrict how your personal information is used or to object to our use of your personal information (if appropriate)</w:t>
      </w:r>
    </w:p>
    <w:p>
      <w:pPr>
        <w:pStyle w:val="ListParagraph"/>
        <w:numPr>
          <w:ilvl w:val="0"/>
          <w:numId w:val="2"/>
        </w:numPr>
      </w:pPr>
      <w:r>
        <w:t xml:space="preserve">your right to complain to the Information Commissioner’s Office.</w:t>
      </w:r>
    </w:p>
    <w:p>
      <w:r>
        <w:t xml:space="preserve">We also need to provide you with a copy of your personal information.</w:t>
      </w:r>
    </w:p>
    <w:p>
      <w:r>
        <w:t xml:space="preserve">You will not have to pay a fee to access your personal data (or to exercise any of the other rights). However, we may charge a reasonable fee if your request is clearly unfounded, repetitive or excessive. Alternatively, we could refuse to comply with your request in these circumstances.</w:t>
      </w:r>
    </w:p>
    <w:p>
      <w:r>
        <w:t xml:space="preserve">We may need to request specific information from you to help us confirm your identity (this will be proportionate) and ensure your right to access your personal information (or to exercise any of your other rights). We may also contact you to ask you for further information in relation to your request to speed up our response.</w:t>
      </w:r>
    </w:p>
    <w:p>
      <w:r>
        <w:t xml:space="preserve">We respond to all requests within one month. Occasionally it could take us longer than a month if your request is particularly complex or you have made a number of requests. In this case, we will notify you and keep you updated.</w:t>
      </w:r>
    </w:p>
    <w:p>
      <w:pPr>
        <w:keepNext/>
        <w:spacing w:after="80" w:before="200"/>
      </w:pPr>
      <w:r>
        <w:rPr>
          <w:b/>
          <w:bCs/>
          <w:color w:val="003087"/>
        </w:rPr>
        <w:t xml:space="preserve">c.  The right to request correction of your personal information</w:t>
      </w:r>
    </w:p>
    <w:p>
      <w:r>
        <w:t xml:space="preserve">We take reasonable steps to ensure that the personal information we hold about you is accurate, complete and up to date. However, if you do not believe this is the case, you can ask us to update or amend it.</w:t>
      </w:r>
    </w:p>
    <w:p>
      <w:pPr>
        <w:keepNext/>
        <w:spacing w:after="80" w:before="200"/>
      </w:pPr>
      <w:r>
        <w:rPr>
          <w:b/>
          <w:bCs/>
          <w:color w:val="003087"/>
        </w:rPr>
        <w:t xml:space="preserve">d.  The right to request erasure of your personal information</w:t>
      </w:r>
    </w:p>
    <w:p>
      <w:r>
        <w:t xml:space="preserve">In some circumstances, you have the right to request the erasure of the personal information that we hold about you. This is also known as the ‘right to be forgotten’. However, there are exceptions to this right and in certain circumstances we can refuse to delete the information in question.</w:t>
      </w:r>
    </w:p>
    <w:p>
      <w:pPr>
        <w:keepNext/>
        <w:spacing w:after="80" w:before="200"/>
      </w:pPr>
      <w:r>
        <w:rPr>
          <w:b/>
          <w:bCs/>
          <w:color w:val="003087"/>
        </w:rPr>
        <w:t xml:space="preserve">e.  The right to object to the processing of your personal information</w:t>
      </w:r>
    </w:p>
    <w:p>
      <w:r>
        <w:t xml:space="preserve">In some circumstances, you have the right to object to the processing of your personal information. This would usually apply to processing for purposes other than your direct health care, i.e. research.</w:t>
      </w:r>
    </w:p>
    <w:p>
      <w:pPr>
        <w:keepNext/>
        <w:spacing w:after="80" w:before="200"/>
      </w:pPr>
      <w:r>
        <w:rPr>
          <w:b/>
          <w:bCs/>
          <w:color w:val="003087"/>
        </w:rPr>
        <w:t xml:space="preserve">f.  The right to request a transfer of your personal information</w:t>
      </w:r>
    </w:p>
    <w:p>
      <w:r>
        <w:t xml:space="preserve">In some circumstances, we must transfer personal information that you have provided to us to you or (if this is technically feasible) another individual/organisation of your choice. The information must be transferred in an electronic format.</w:t>
      </w:r>
    </w:p>
    <w:p>
      <w:pPr>
        <w:keepNext/>
        <w:spacing w:after="80" w:before="200"/>
      </w:pPr>
      <w:r>
        <w:rPr>
          <w:b/>
          <w:bCs/>
          <w:color w:val="003087"/>
        </w:rPr>
        <w:t xml:space="preserve">g.  The right to object</w:t>
      </w:r>
    </w:p>
    <w:p>
      <w:r>
        <w:t xml:space="preserve">You can ask us to stop processing your information for any purposes other than your health care.</w:t>
      </w:r>
    </w:p>
    <w:p>
      <w:pPr>
        <w:keepNext/>
        <w:spacing w:after="80" w:before="200"/>
      </w:pPr>
      <w:r>
        <w:rPr>
          <w:b/>
          <w:bCs/>
          <w:color w:val="003087"/>
        </w:rPr>
        <w:t xml:space="preserve">h.  The right not to be subject to automatic decisions (i.e. decisions that are made about you by computer alone)</w:t>
      </w:r>
    </w:p>
    <w:p>
      <w:r>
        <w:t xml:space="preserve">You have a right not to be subject to automatic decisions (i.e. decisions that are made about you by computer alone) that have a legal or other significant effect on you.</w:t>
      </w:r>
    </w:p>
    <w:p>
      <w:pPr>
        <w:keepNext/>
        <w:spacing w:after="80" w:before="200"/>
      </w:pPr>
      <w:r>
        <w:rPr>
          <w:b/>
          <w:bCs/>
          <w:color w:val="003087"/>
        </w:rPr>
        <w:t xml:space="preserve">i.  The right to withdraw your consent</w:t>
      </w:r>
    </w:p>
    <w:p>
      <w:r>
        <w:t xml:space="preserve">You have the right to withdraw your consent where we rely upon this as a legal ground for processing your information. To apply any of the individual rights above, please contact the Practice Manager.</w:t>
      </w:r>
    </w:p>
    <w:p>
      <w:pPr>
        <w:pStyle w:val="Heading1"/>
        <w:keepNext/>
      </w:pPr>
      <w:bookmarkStart w:name="sec_14" w:id="114"/>
      <w:r>
        <w:t xml:space="preserve">14.  CCTV</w:t>
      </w:r>
      <w:bookmarkEnd w:id="114"/>
    </w:p>
    <w:p>
      <w:r>
        <w:t xml:space="preserve">We have installed CCTV to:</w:t>
      </w:r>
    </w:p>
    <w:p>
      <w:pPr>
        <w:pStyle w:val="ListParagraph"/>
        <w:numPr>
          <w:ilvl w:val="0"/>
          <w:numId w:val="2"/>
        </w:numPr>
      </w:pPr>
      <w:r>
        <w:t xml:space="preserve">ensure the security of our and your property and the security of our patients and staff, and</w:t>
      </w:r>
    </w:p>
    <w:p>
      <w:pPr>
        <w:pStyle w:val="ListParagraph"/>
        <w:numPr>
          <w:ilvl w:val="0"/>
          <w:numId w:val="2"/>
        </w:numPr>
      </w:pPr>
      <w:r>
        <w:t xml:space="preserve">monitor the security of our premises.</w:t>
      </w:r>
    </w:p>
    <w:p>
      <w:r>
        <w:t xml:space="preserve">All CCTV is maintained and overseen by our Practice Manager, who is responsible for carrying out compliance audits and reviewing the need for CCTV. CCTV footage may be shared for the detection and/or prevention of crime or fraud. Our CCTV storage capacity is limited to 28 days.</w:t>
      </w:r>
    </w:p>
    <w:p>
      <w:pPr>
        <w:pStyle w:val="Heading1"/>
        <w:keepNext/>
      </w:pPr>
      <w:bookmarkStart w:name="sec_15" w:id="115"/>
      <w:r>
        <w:t xml:space="preserve">15.  General practice data for research</w:t>
      </w:r>
      <w:bookmarkEnd w:id="115"/>
    </w:p>
    <w:p>
      <w:r>
        <w:t xml:space="preserve">The data held in the GP medical records of patients is used to support health research in England, helping to find better treatments and improve patient outcomes for everyone. Any data that could directly identify you (such as NHS number, date of birth, full postcode) is replaced with unique codes which are produced by de-identification software before the data is shared with NHS England.</w:t>
      </w:r>
    </w:p>
    <w:p>
      <w:r>
        <w:t xml:space="preserve">This process is called pseudonymisation and means that patients will not be identified directly in the data.</w:t>
      </w:r>
    </w:p>
    <w:p>
      <w:r>
        <w:t xml:space="preserve">If you do not want your patient data to be shared for purposes except your own care, you can opt out of this process.</w:t>
      </w:r>
    </w:p>
    <w:p>
      <w:r>
        <w:t xml:space="preserve">For further information please visit </w:t>
      </w:r>
      <w:hyperlink w:history="1" r:id="rIdnbuvyzqcbegdgdhu5n7ze">
        <w:r>
          <w:rPr>
            <w:rStyle w:val="Hyperlink"/>
          </w:rPr>
          <w:t xml:space="preserve">https://digital.nhs.uk/services/national-data-opt-out</w:t>
        </w:r>
      </w:hyperlink>
      <w:r>
        <w:t xml:space="preserve"> or contact the practice.</w:t>
      </w:r>
    </w:p>
    <w:p>
      <w:pPr>
        <w:pStyle w:val="Heading1"/>
        <w:keepNext/>
      </w:pPr>
      <w:bookmarkStart w:name="sec_16" w:id="116"/>
      <w:r>
        <w:t xml:space="preserve">16.  My Care Record</w:t>
      </w:r>
      <w:bookmarkEnd w:id="116"/>
    </w:p>
    <w:p>
      <w:r>
        <w:t xml:space="preserve">My Care Record enables health and care professionals to access the information they need to look after you, even if they work for different organisations or in different locations. The Maples Health Centre is part of My Care Record, an approach to improving care by joining up health and care information. Health and care professionals from other services will be able to view information from the records we hold about you when it is needed for your care.</w:t>
      </w:r>
    </w:p>
    <w:p>
      <w:r>
        <w:t xml:space="preserve">For further information please visit </w:t>
      </w:r>
      <w:hyperlink w:history="1" r:id="rIdln4dvyzbg1xnn_iyb0s_o">
        <w:r>
          <w:rPr>
            <w:rStyle w:val="Hyperlink"/>
          </w:rPr>
          <w:t xml:space="preserve">www.mycarerecord.org.uk</w:t>
        </w:r>
      </w:hyperlink>
      <w:r>
        <w:t xml:space="preserve"> or contact the practice.</w:t>
      </w:r>
    </w:p>
    <w:p>
      <w:pPr>
        <w:pStyle w:val="Heading1"/>
        <w:keepNext/>
      </w:pPr>
      <w:bookmarkStart w:name="sec_17" w:id="117"/>
      <w:r>
        <w:t xml:space="preserve">17.  Health Information Exchange gateway</w:t>
      </w:r>
      <w:bookmarkEnd w:id="117"/>
    </w:p>
    <w:p>
      <w:r>
        <w:t xml:space="preserve">Health and care information is joined up via the HIE (Health Information Exchange), which is used across the region to enable health and care professionals to access up-to-date information held by different organisations or in different locations. This results in more effective care and secure information sharing for direct care purposes.</w:t>
      </w:r>
    </w:p>
    <w:p>
      <w:r>
        <w:t xml:space="preserve">Each organisation will determine the content of their own information feed into the Shared Care Record. This will be based on the nature of the records that the organisation holds.</w:t>
      </w:r>
    </w:p>
    <w:p>
      <w:r>
        <w:t xml:space="preserve">The Cerner HIE (Shared Care Record) system displays the feeds from partner organisations in a single user-accessible dashboard, in real time.</w:t>
      </w:r>
    </w:p>
    <w:p>
      <w:pPr>
        <w:pStyle w:val="Heading1"/>
        <w:keepNext/>
      </w:pPr>
      <w:bookmarkStart w:name="sec_18" w:id="118"/>
      <w:r>
        <w:t xml:space="preserve">18.  Recordings</w:t>
      </w:r>
      <w:bookmarkEnd w:id="118"/>
    </w:p>
    <w:p>
      <w:r>
        <w:t xml:space="preserve">Telephone calls are recorded for training and monitoring purposes only.</w:t>
      </w:r>
    </w:p>
    <w:p>
      <w:r>
        <w:t xml:space="preserve">When the surgery carries out video consultations, the consultation is not stored or recorded within the system; the clinical staff member is required to record observations and outcomes of the consultation directly into your patient record in the same way as during a face-to-face consultation.</w:t>
      </w:r>
    </w:p>
    <w:p>
      <w:pPr>
        <w:pStyle w:val="Heading1"/>
        <w:keepNext/>
      </w:pPr>
      <w:bookmarkStart w:name="sec_19" w:id="119"/>
      <w:r>
        <w:t xml:space="preserve">19.  Primary Care Network (PCN)</w:t>
      </w:r>
      <w:bookmarkEnd w:id="119"/>
    </w:p>
    <w:p>
      <w:r>
        <w:t xml:space="preserve">We are a member of Broxbourne Alliance Primary Care Network (PCN). This means we will be working closely with several other GP practices and health and care organisations to provide healthcare services to you. No health data is automatically shared. Patient records remain with the practice that the patient is registered with; the record would only be accessed by another practice if the patient has booked and agreed an extended access appointment or clinical services delivered in a GP practice. The patient is advised of this at the time of accepting the appointment.</w:t>
      </w:r>
    </w:p>
    <w:p>
      <w:r>
        <w:t xml:space="preserve">Other practices in our PCN are:</w:t>
      </w:r>
    </w:p>
    <w:p>
      <w:pPr>
        <w:pStyle w:val="ListParagraph"/>
        <w:numPr>
          <w:ilvl w:val="0"/>
          <w:numId w:val="2"/>
        </w:numPr>
      </w:pPr>
      <w:r>
        <w:t xml:space="preserve">Warden Lodge Surgery</w:t>
      </w:r>
    </w:p>
    <w:p>
      <w:pPr>
        <w:pStyle w:val="ListParagraph"/>
        <w:numPr>
          <w:ilvl w:val="0"/>
          <w:numId w:val="2"/>
        </w:numPr>
      </w:pPr>
      <w:r>
        <w:t xml:space="preserve">Cuffley and Goffs Oak Practice</w:t>
      </w:r>
    </w:p>
    <w:p>
      <w:pPr>
        <w:pStyle w:val="ListParagraph"/>
        <w:numPr>
          <w:ilvl w:val="0"/>
          <w:numId w:val="2"/>
        </w:numPr>
      </w:pPr>
      <w:r>
        <w:t xml:space="preserve">Abbey Road Surgery</w:t>
      </w:r>
    </w:p>
    <w:p>
      <w:pPr>
        <w:pStyle w:val="Heading1"/>
        <w:keepNext/>
      </w:pPr>
      <w:bookmarkStart w:name="sec_20" w:id="120"/>
      <w:r>
        <w:t xml:space="preserve">20.  Integrated Care Systems (ICS)</w:t>
      </w:r>
      <w:bookmarkEnd w:id="120"/>
    </w:p>
    <w:p>
      <w:r>
        <w:t xml:space="preserve">As the country moves to integrated care systems based on geographical areas (historically East &amp; North Herts, Herts Valleys and West Essex), our ICB area is Central East. Information may be available to other care providers in order to provide safe, effective and cost-efficient care. Robust training, policies, procedures, controls, audits and technical measures will be in place to safeguard against inappropriate access and disclosure.</w:t>
      </w:r>
    </w:p>
    <w:p>
      <w:pPr>
        <w:pStyle w:val="Heading1"/>
        <w:keepNext/>
      </w:pPr>
      <w:bookmarkStart w:name="sec_21" w:id="121"/>
      <w:r>
        <w:t xml:space="preserve">21.  Integrated Care Boards (ICB)</w:t>
      </w:r>
      <w:bookmarkEnd w:id="121"/>
    </w:p>
    <w:p>
      <w:r>
        <w:t xml:space="preserve">Integrated Care Boards are responsible for securing, planning, designing and paying for your NHS services, including planned and emergency hospital care, mental health, rehabilitation, community and primary medical care (GP) services. This is known as commissioning. We do share data with Herts and West Essex ICB (now Central East ICB), which is working with GP practices, local hospitals and other providers, generating Population Health Management information and linking all the information together but then removing information that identifies you. The linked and pseudonymised information will help the ICB learn to use the data. The information will be reviewed and decisions made about the whole population.</w:t>
      </w:r>
    </w:p>
    <w:p>
      <w:r>
        <w:t xml:space="preserve">As part of the review, a group of individuals or a single individual might be identified that could benefit from some additional care or support. The information will be sent back to us (your GP) and we will use the unique code to identify you and offer you relevant services (direct care).</w:t>
      </w:r>
    </w:p>
    <w:p>
      <w:r>
        <w:t xml:space="preserve">The ICB is legally obliged to protect your information and maintain confidentiality in the same way as us (your GP) or a hospital provider.</w:t>
      </w:r>
    </w:p>
    <w:p>
      <w:pPr>
        <w:pStyle w:val="Heading2"/>
        <w:keepNext/>
      </w:pPr>
      <w:r>
        <w:t xml:space="preserve">Population Health Management</w:t>
      </w:r>
    </w:p>
    <w:p>
      <w:r>
        <w:t xml:space="preserve">Population Health Management aims to improve the health of both local and national populations.</w:t>
      </w:r>
    </w:p>
    <w:p>
      <w:r>
        <w:t xml:space="preserve">It is about improving the physical and mental health outcomes and wellbeing of people and making sure that access to services is fair and equal. It helps to reduce the occurrence of ill health and looks at all the wider factors that affect health and care.</w:t>
      </w:r>
    </w:p>
    <w:p>
      <w:r>
        <w:t xml:space="preserve">Population Health Management requires health and social care organisations to work together with communities and partner agencies. The organisations will share de-identified information (where information about you has been removed) with each other in order to get a view of health and services for the population in a particular area.</w:t>
      </w:r>
    </w:p>
    <w:p>
      <w:r>
        <w:t xml:space="preserve">A population health management tool provided by an NHS England approved supplier will combine this de-identified information from GP practices, community service providers, hospitals and other health and care providers to allow a comprehensive picture of health and care needs to be identified and services planned according to need.</w:t>
      </w:r>
    </w:p>
    <w:p>
      <w:r>
        <w:t xml:space="preserve">The information needed for this process will include information about your health and social care. Information about you and your care will be used in the programme, but in a format that does not directly identify you, which we refer to within this privacy notice as pseudonymised.</w:t>
      </w:r>
    </w:p>
    <w:p>
      <w:r>
        <w:t xml:space="preserve">The information will be used for a number of health and social care related activities such as:</w:t>
      </w:r>
    </w:p>
    <w:p>
      <w:pPr>
        <w:pStyle w:val="ListParagraph"/>
        <w:numPr>
          <w:ilvl w:val="0"/>
          <w:numId w:val="2"/>
        </w:numPr>
      </w:pPr>
      <w:r>
        <w:t xml:space="preserve">improving the quality and standards of care provided</w:t>
      </w:r>
    </w:p>
    <w:p>
      <w:pPr>
        <w:pStyle w:val="ListParagraph"/>
        <w:numPr>
          <w:ilvl w:val="0"/>
          <w:numId w:val="2"/>
        </w:numPr>
      </w:pPr>
      <w:r>
        <w:t xml:space="preserve">research into the development of new treatments</w:t>
      </w:r>
    </w:p>
    <w:p>
      <w:pPr>
        <w:pStyle w:val="ListParagraph"/>
        <w:numPr>
          <w:ilvl w:val="0"/>
          <w:numId w:val="2"/>
        </w:numPr>
      </w:pPr>
      <w:r>
        <w:t xml:space="preserve">preventing illness and diseases</w:t>
      </w:r>
    </w:p>
    <w:p>
      <w:pPr>
        <w:pStyle w:val="ListParagraph"/>
        <w:numPr>
          <w:ilvl w:val="0"/>
          <w:numId w:val="2"/>
        </w:numPr>
      </w:pPr>
      <w:r>
        <w:t xml:space="preserve">monitoring safety</w:t>
      </w:r>
    </w:p>
    <w:p>
      <w:pPr>
        <w:pStyle w:val="ListParagraph"/>
        <w:numPr>
          <w:ilvl w:val="0"/>
          <w:numId w:val="2"/>
        </w:numPr>
      </w:pPr>
      <w:r>
        <w:t xml:space="preserve">planning services.</w:t>
      </w:r>
    </w:p>
    <w:p>
      <w:pPr>
        <w:pStyle w:val="Heading2"/>
        <w:keepNext/>
      </w:pPr>
      <w:r>
        <w:t xml:space="preserve">Data processing activities</w:t>
      </w:r>
    </w:p>
    <w:p>
      <w:r>
        <w:t xml:space="preserve">The ICB processes this data internally. Data is also processed by Arden &amp; GEM Commissioning Support Unit (AGEM) and Cerner Ltd on behalf of the ICB.</w:t>
      </w:r>
    </w:p>
    <w:p>
      <w:r>
        <w:t xml:space="preserve">AGEM and Cerner Ltd will make the GP data linkable with other local and national data sources to understand population health more effectively. This process is called pseudonymisation, and any information that identifies you has been removed and replaced with a pseudonym (unique code).</w:t>
      </w:r>
    </w:p>
    <w:p>
      <w:r>
        <w:t xml:space="preserve">The pseudonym will only ever be re-identified by your GP practice if we discover that you may benefit from a particular health intervention, in which case only the relevant staff within your practice will be able to see your personal information in order to offer this service to you.</w:t>
      </w:r>
    </w:p>
    <w:p>
      <w:pPr>
        <w:pStyle w:val="Heading2"/>
        <w:keepNext/>
      </w:pPr>
      <w:r>
        <w:t xml:space="preserve">Legal basis</w:t>
      </w:r>
    </w:p>
    <w:p>
      <w:r>
        <w:t xml:space="preserve">Sharing and using your information in this way helps to provide better health and care for you, your family and future generations. Confidential patient information about your health and care is only used where allowed by law and, in the majority of cases, anonymised data is used so that you cannot be identified.</w:t>
      </w:r>
    </w:p>
    <w:p>
      <w:r>
        <w:t xml:space="preserve">Under data protection law, we can only process patient data if we have a legal basis under Articles 6 and 9 of the UK GDPR.</w:t>
      </w:r>
    </w:p>
    <w:p>
      <w:pPr>
        <w:pStyle w:val="ListParagraph"/>
        <w:numPr>
          <w:ilvl w:val="0"/>
          <w:numId w:val="2"/>
        </w:numPr>
      </w:pPr>
      <w:r>
        <w:rPr>
          <w:b/>
          <w:bCs/>
        </w:rPr>
        <w:t xml:space="preserve">Article 6(1)(c) – legal obligation</w:t>
      </w:r>
      <w:r>
        <w:t xml:space="preserve">, as we are required to under the Health and Social Care Act 2012. When we are processing patient data about health, we also need a legal basis under Article 9 of the UK GDPR.</w:t>
      </w:r>
    </w:p>
    <w:p>
      <w:pPr>
        <w:pStyle w:val="ListParagraph"/>
        <w:numPr>
          <w:ilvl w:val="0"/>
          <w:numId w:val="2"/>
        </w:numPr>
      </w:pPr>
      <w:r>
        <w:rPr>
          <w:b/>
          <w:bCs/>
        </w:rPr>
        <w:t xml:space="preserve">Article 9(2)(h)</w:t>
      </w:r>
      <w:r>
        <w:t xml:space="preserve"> – data for the purposes of providing care and managing health and social care systems and services. This is permitted under paragraph 2 of Schedule 1 of the DPA.</w:t>
      </w:r>
    </w:p>
    <w:p>
      <w:pPr>
        <w:pStyle w:val="ListParagraph"/>
        <w:numPr>
          <w:ilvl w:val="0"/>
          <w:numId w:val="2"/>
        </w:numPr>
      </w:pPr>
      <w:r>
        <w:rPr>
          <w:b/>
          <w:bCs/>
        </w:rPr>
        <w:t xml:space="preserve">Article 9(2)(i)</w:t>
      </w:r>
      <w:r>
        <w:t xml:space="preserve"> – as data will also be used for public health purposes. This is permitted under paragraph 3 of Schedule 1 of the DPA.</w:t>
      </w:r>
    </w:p>
    <w:p>
      <w:pPr>
        <w:pStyle w:val="ListParagraph"/>
        <w:numPr>
          <w:ilvl w:val="0"/>
          <w:numId w:val="2"/>
        </w:numPr>
      </w:pPr>
      <w:r>
        <w:rPr>
          <w:b/>
          <w:bCs/>
        </w:rPr>
        <w:t xml:space="preserve">Article 9(2)(j)</w:t>
      </w:r>
      <w:r>
        <w:t xml:space="preserve"> – as data will also be used for the purposes of scientific research and for statistical purposes. This is permitted under paragraph 4 of Schedule 1 of the DPA.</w:t>
      </w:r>
    </w:p>
    <w:p>
      <w:pPr>
        <w:pStyle w:val="Heading2"/>
        <w:keepNext/>
      </w:pPr>
      <w:r>
        <w:t xml:space="preserve">Opt-out details</w:t>
      </w:r>
    </w:p>
    <w:p>
      <w:r>
        <w:t xml:space="preserve">You have a choice about whether you want your confidential patient information to be used in this way. If you are happy with this use of information you do not need to do anything. If you do not wish your data to be included in the risk stratification service (even though it is in a format which does not directly identify you) you can choose to opt out.</w:t>
      </w:r>
    </w:p>
    <w:p>
      <w:r>
        <w:t xml:space="preserve">In this case, because pseudonymised data is being used, the National Data Opt-Out does not apply. Instead, please inform your GP practice, who will apply an opt-out code to your record to ensure that your information is not included in the programme.</w:t>
      </w:r>
    </w:p>
    <w:p>
      <w:pPr>
        <w:pStyle w:val="Heading1"/>
        <w:keepNext/>
      </w:pPr>
      <w:bookmarkStart w:name="sec_22" w:id="122"/>
      <w:r>
        <w:t xml:space="preserve">22.  Using your data to plan and support better care</w:t>
      </w:r>
      <w:bookmarkEnd w:id="122"/>
    </w:p>
    <w:p>
      <w:r>
        <w:t xml:space="preserve">Your GP data, including age, gender and medications prescribed, is used to plan health and care services for the local area, as well as to help your GP provide better personalised care.</w:t>
      </w:r>
    </w:p>
    <w:p>
      <w:r>
        <w:t xml:space="preserve">This process is called risk stratification and is a statutory (legal) requirement.</w:t>
      </w:r>
    </w:p>
    <w:p>
      <w:r>
        <w:t xml:space="preserve">If, however, you don’t want your data to be used in this way, you can opt out, but you need to be aware that this can affect the proactive provision of your care.</w:t>
      </w:r>
    </w:p>
    <w:p>
      <w:pPr>
        <w:pStyle w:val="Heading2"/>
        <w:keepNext/>
      </w:pPr>
      <w:r>
        <w:t xml:space="preserve">What is risk stratification?</w:t>
      </w:r>
    </w:p>
    <w:p>
      <w:r>
        <w:t xml:space="preserve">In Central East, we take part in two types of risk stratification:</w:t>
      </w:r>
    </w:p>
    <w:p>
      <w:pPr>
        <w:pStyle w:val="ListParagraph"/>
        <w:numPr>
          <w:ilvl w:val="0"/>
          <w:numId w:val="2"/>
        </w:numPr>
      </w:pPr>
      <w:r>
        <w:t xml:space="preserve">risk stratification for case-finding</w:t>
      </w:r>
    </w:p>
    <w:p>
      <w:pPr>
        <w:pStyle w:val="ListParagraph"/>
        <w:numPr>
          <w:ilvl w:val="0"/>
          <w:numId w:val="2"/>
        </w:numPr>
      </w:pPr>
      <w:r>
        <w:t xml:space="preserve">risk stratification for commissioning.</w:t>
      </w:r>
    </w:p>
    <w:p>
      <w:r>
        <w:t xml:space="preserve">In both cases risk stratification tools use patient data, such as age, gender, diagnoses, hospital attendance and admissions, which is collected by NHS Digital from NHS hospitals and community care services. This is then linked to data from GP practices and analysed. It is important to note that your name is not used when the data is being analysed. Only your NHS number is used during this process. GP practices will then be able to view your name when it is appropriate to do so to improve the services available to you.</w:t>
      </w:r>
    </w:p>
    <w:p>
      <w:pPr>
        <w:pStyle w:val="Heading3"/>
        <w:keepNext/>
      </w:pPr>
      <w:r>
        <w:t xml:space="preserve">Risk stratification for case-finding</w:t>
      </w:r>
    </w:p>
    <w:p>
      <w:r>
        <w:t xml:space="preserve">This is a process GPs use to help them spot and support patients with long-term conditions and help prevent unplanned hospital admissions or reduce the risk of developing other diseases. Your GP will use computer calculations to pick out registered patients who are at the most risk. Your GP will do this on a routine basis. It will be done electronically and will produce a report that will be reviewed by a clinical team at your practice. You might then be contacted if changes to your care are identified.</w:t>
      </w:r>
    </w:p>
    <w:p>
      <w:pPr>
        <w:pStyle w:val="Heading3"/>
        <w:keepNext/>
      </w:pPr>
      <w:r>
        <w:t xml:space="preserve">Risk stratification for commissioning</w:t>
      </w:r>
    </w:p>
    <w:p>
      <w:r>
        <w:t xml:space="preserve">This is a process Central East Integrated Care Board (CE ICB) uses to understand the needs of the local population so it can commission the right care services.</w:t>
      </w:r>
    </w:p>
    <w:p>
      <w:r>
        <w:t xml:space="preserve">Data is sent by NHS England and/or GP practices directly into a risk stratification tool provided by an NHS England-approved supplier.</w:t>
      </w:r>
    </w:p>
    <w:p>
      <w:r>
        <w:t xml:space="preserve">ICB staff only have access to anonymised or aggregated data. You will not be personally identifiable, nor will any ICB staff have access to your personal or confidential data.</w:t>
      </w:r>
    </w:p>
    <w:p>
      <w:pPr>
        <w:pStyle w:val="Heading2"/>
        <w:keepNext/>
      </w:pPr>
      <w:r>
        <w:t xml:space="preserve">Your rights</w:t>
      </w:r>
    </w:p>
    <w:p>
      <w:r>
        <w:t xml:space="preserve">It is a statutory requirement for NHS England to collect identifiable information.</w:t>
      </w:r>
    </w:p>
    <w:p>
      <w:r>
        <w:t xml:space="preserve">Section 251 of the NHS Act 2006 allows the Secretary of State to set aside the common law duty of confidentiality for defined medical purposes. Approval is obtained through the Confidentiality Advisory Group of the Health Research Authority, which means HWE ICB can receive this data in line with specific technical and security measures in place.</w:t>
      </w:r>
    </w:p>
    <w:p>
      <w:pPr>
        <w:pStyle w:val="Heading2"/>
        <w:keepNext/>
      </w:pPr>
      <w:r>
        <w:t xml:space="preserve">Opt-out</w:t>
      </w:r>
    </w:p>
    <w:p>
      <w:r>
        <w:t xml:space="preserve">If you are happy for your data to be used in this way, you don’t need to do anything.</w:t>
      </w:r>
    </w:p>
    <w:p>
      <w:r>
        <w:t xml:space="preserve">However, if you don’t want your data included, you can choose to opt out by contacting your GP practice, who will advise on how to opt out of local specific projects. You may also wish to opt out of your information being used for research or planning purposes nationally by visiting </w:t>
      </w:r>
      <w:hyperlink w:history="1" r:id="rId9lzyps7lwtuidobrfhc3a">
        <w:r>
          <w:rPr>
            <w:rStyle w:val="Hyperlink"/>
          </w:rPr>
          <w:t xml:space="preserve">https://www.nhs.uk/your-nhs-data-matters/</w:t>
        </w:r>
      </w:hyperlink>
      <w:r>
        <w:t xml:space="preserve">.</w:t>
      </w:r>
    </w:p>
    <w:p>
      <w:r>
        <w:t xml:space="preserve">To find out more about which risk stratification tools are used, how your personal data is handled and your rights, you can view the HWE ICB Privacy Notice at </w:t>
      </w:r>
      <w:hyperlink w:history="1" r:id="rIdioe2_0mxopazgwc-8vua7">
        <w:r>
          <w:rPr>
            <w:rStyle w:val="Hyperlink"/>
          </w:rPr>
          <w:t xml:space="preserve">https://www.centraleast.icb.nhs.uk/privacy/</w:t>
        </w:r>
      </w:hyperlink>
      <w:r>
        <w:t xml:space="preserve">, or your GP practice privacy notice, available on the GP practice website or as a leaflet in the reception area.</w:t>
      </w:r>
    </w:p>
    <w:p>
      <w:pPr>
        <w:pStyle w:val="Heading1"/>
        <w:keepNext/>
      </w:pPr>
      <w:bookmarkStart w:name="sec_23" w:id="123"/>
      <w:r>
        <w:t xml:space="preserve">23.  OpenSAFELY</w:t>
      </w:r>
      <w:bookmarkEnd w:id="123"/>
    </w:p>
    <w:p>
      <w:r>
        <w:t xml:space="preserve">NHS England has been directed by the government to establish and operate the OpenSAFELY COVID-19 Service and the OpenSAFELY Data Analytics Service. These services provide a secure environment that supports research, clinical audit, service evaluation and health surveillance for COVID-19 and other purposes.</w:t>
      </w:r>
    </w:p>
    <w:p>
      <w:r>
        <w:t xml:space="preserve">Each GP practice remains the controller of its own GP patient data but is required to let approved users run queries on pseudonymised patient data. This means identifiers are removed and replaced with a pseudonym.</w:t>
      </w:r>
    </w:p>
    <w:p>
      <w:r>
        <w:t xml:space="preserve">Only approved users are allowed to run these queries, and they will not be able to access information that directly or indirectly identifies individuals.</w:t>
      </w:r>
    </w:p>
    <w:p>
      <w:r>
        <w:t xml:space="preserve">Patients who do not wish for their data to be used as part of this process can register a </w:t>
      </w:r>
      <w:hyperlink w:history="1" r:id="rIdfftydbmkvc4nyip792sno">
        <w:r>
          <w:rPr>
            <w:rStyle w:val="Hyperlink"/>
          </w:rPr>
          <w:t xml:space="preserve">type 1 opt-out</w:t>
        </w:r>
      </w:hyperlink>
      <w:r>
        <w:t xml:space="preserve"> with their GP.</w:t>
      </w:r>
    </w:p>
    <w:p>
      <w:r>
        <w:t xml:space="preserve">You can find </w:t>
      </w:r>
      <w:hyperlink w:history="1" r:id="rIdxm7yh81hfhajg6hj13rm3">
        <w:r>
          <w:rPr>
            <w:rStyle w:val="Hyperlink"/>
          </w:rPr>
          <w:t xml:space="preserve">additional information about OpenSAFELY</w:t>
        </w:r>
      </w:hyperlink>
      <w:r>
        <w:t xml:space="preserve"> on its website.</w:t>
      </w:r>
    </w:p>
    <w:p>
      <w:pPr>
        <w:pStyle w:val="Heading1"/>
        <w:keepNext/>
      </w:pPr>
      <w:bookmarkStart w:name="sec_24" w:id="124"/>
      <w:r>
        <w:t xml:space="preserve">24.  Your right to complain to the Information Commissioner’s Office</w:t>
      </w:r>
      <w:bookmarkEnd w:id="124"/>
    </w:p>
    <w:p>
      <w:r>
        <w:t xml:space="preserve">You have the right to complain to the Information Commissioner’s Office if you are unhappy with the way that we have dealt with a request from you to exercise any of these rights, or if you think we have not complied with our legal obligations under data protection law. Making a complaint will not affect any other legal rights or remedies that you have. More information can be found on the </w:t>
      </w:r>
      <w:hyperlink w:history="1" r:id="rId8ra5xc--q9vapd4qtvjlh">
        <w:r>
          <w:rPr>
            <w:rStyle w:val="Hyperlink"/>
          </w:rPr>
          <w:t xml:space="preserve">Information Commissioner’s Office website</w:t>
        </w:r>
      </w:hyperlink>
      <w:r>
        <w:t xml:space="preserve">, and the Information Commissioner’s Office can be contacted by post, phone or email as follows:</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9506"/>
      </w:tblGrid>
      <w:tr>
        <w:trPr>
          <w:cantSplit/>
        </w:trPr>
        <w:tc>
          <w:tcPr>
            <w:tcW w:type="dxa" w:w="9506"/>
            <w:tcBorders>
              <w:top w:val="none" w:color="FFFFFF" w:sz="0"/>
              <w:left w:val="single" w:color="005EB8" w:sz="24"/>
              <w:bottom w:val="none" w:color="FFFFFF" w:sz="0"/>
              <w:right w:val="none" w:color="FFFFFF" w:sz="0"/>
            </w:tcBorders>
            <w:shd w:fill="EEF4FA" w:color="auto" w:val="clear"/>
            <w:tcMar>
              <w:top w:type="dxa" w:w="140"/>
              <w:left w:type="dxa" w:w="240"/>
              <w:bottom w:type="dxa" w:w="140"/>
              <w:right w:type="dxa" w:w="240"/>
            </w:tcMar>
          </w:tcPr>
          <w:p>
            <w:pPr>
              <w:spacing w:after="40"/>
            </w:pPr>
            <w:r>
              <w:rPr>
                <w:b/>
                <w:bCs/>
              </w:rPr>
              <w:t xml:space="preserve">Information Commissioner’s Office</w:t>
            </w:r>
          </w:p>
          <w:p>
            <w:pPr>
              <w:spacing w:after="40"/>
            </w:pPr>
            <w:r>
              <w:t xml:space="preserve">Wycliffe House, Water Lane, Wilmslow, Cheshire SK9 5AF</w:t>
            </w:r>
          </w:p>
          <w:p>
            <w:pPr>
              <w:spacing w:after="40"/>
            </w:pPr>
            <w:r>
              <w:t xml:space="preserve">Tel: 0303 123 1113 (local rate) or 01625 545 745 (if you prefer to use a national rate number)</w:t>
            </w:r>
          </w:p>
          <w:p>
            <w:pPr>
              <w:spacing w:after="40"/>
            </w:pPr>
            <w:r>
              <w:t xml:space="preserve">Fax: 01625 524 510</w:t>
            </w:r>
          </w:p>
          <w:p>
            <w:pPr>
              <w:spacing w:after="40"/>
            </w:pPr>
            <w:r>
              <w:t xml:space="preserve">Email: </w:t>
            </w:r>
            <w:hyperlink w:history="1" r:id="rIdtioonpaardgbd9u1aqenc">
              <w:r>
                <w:rPr>
                  <w:rStyle w:val="Hyperlink"/>
                </w:rPr>
                <w:t xml:space="preserve">casework@ico.org.uk</w:t>
              </w:r>
            </w:hyperlink>
          </w:p>
        </w:tc>
      </w:tr>
    </w:tbl>
    <w:p>
      <w:pPr>
        <w:spacing w:after="0"/>
      </w:pPr>
    </w:p>
    <w:p>
      <w:r>
        <w:t xml:space="preserve">For further questions or to exercise any rights set out in this Privacy Notice, please contact us on the contact details provided above to request to speak to the Data Protection Officer.</w:t>
      </w:r>
    </w:p>
    <w:p>
      <w:pPr>
        <w:pStyle w:val="Heading2"/>
        <w:keepNext/>
      </w:pPr>
      <w:r>
        <w:t xml:space="preserve">Data Protection Officer (DPO)</w:t>
      </w:r>
    </w:p>
    <w:p>
      <w:r>
        <w:t xml:space="preserve">Our Data Protection Officer (DPO) is provided by Data Privacy Simplified Ltd. If you wish to contact the DPO, you can reach them at </w:t>
      </w:r>
      <w:hyperlink w:history="1" r:id="rIdjsy209ijeuzqxg2rpgj_l">
        <w:r>
          <w:rPr>
            <w:rStyle w:val="Hyperlink"/>
          </w:rPr>
          <w:t xml:space="preserve">hweicbenh.dpogpcontractedservice@nhs.net</w:t>
        </w:r>
      </w:hyperlink>
      <w:r>
        <w:t xml:space="preserve">. Please note, the DPO serves as a secondary point of contact and cannot assist with internal queries; these should be directed to the practice directly.</w:t>
      </w:r>
    </w:p>
    <w:p>
      <w:r>
        <w:t xml:space="preserve">Please note that this privacy notice applies to our practice and the information we collect about you only. For any services, other parties or websites mentioned in this privacy notice or on our website, we do not accept liability, and we advise you to read their privacy policies.</w:t>
      </w:r>
    </w:p>
    <w:p>
      <w:r>
        <w:br w:type="page"/>
      </w:r>
    </w:p>
    <w:p>
      <w:pPr>
        <w:pStyle w:val="Heading1"/>
        <w:keepNext/>
      </w:pPr>
      <w:bookmarkStart w:name="sec_AppendixA" w:id="125"/>
      <w:r>
        <w:t xml:space="preserve">Appendix A  Healthy.io – ACR project for patients with diabetes (and/or other conditions)</w:t>
      </w:r>
      <w:bookmarkEnd w:id="125"/>
    </w:p>
    <w:p>
      <w:r>
        <w:t xml:space="preserve">The data is being processed for the purpose of delivery of a programme, sponsored by NHS Digital, to monitor urine for indications of chronic kidney disease (CKD), which is recommended to be undertaken annually for patients at risk of chronic kidney disease, e.g. patients living with diabetes. The programme enables patients to test their kidney function from home.</w:t>
      </w:r>
    </w:p>
    <w:p>
      <w:r>
        <w:t xml:space="preserve">We will share your contact details with Healthy.io to enable them to contact you and send you a test kit. This will help identify patients at risk of kidney disease and help us agree any early interventions that can be put in place for the benefit of your care. Healthy.io will only use your data for the purposes of delivering their service to you. If you do not wish to receive a home test kit from Healthy.io we will continue to manage your care within the practice.</w:t>
      </w:r>
    </w:p>
    <w:p>
      <w:r>
        <w:t xml:space="preserve">Healthy.io are required to hold data we send them in line with retention periods outlined in the Records Management Code of Practice for Health and Social Care. Further information about this is available at </w:t>
      </w:r>
      <w:hyperlink w:history="1" r:id="rIdlfq4jtxeox8w8qvkjo7f8">
        <w:r>
          <w:rPr>
            <w:rStyle w:val="Hyperlink"/>
          </w:rPr>
          <w:t xml:space="preserve">https://lp.healthy.io/minuteful_info/</w:t>
        </w:r>
      </w:hyperlink>
      <w:r>
        <w:t xml:space="preserve">.</w:t>
      </w:r>
    </w:p>
    <w:p>
      <w:pPr>
        <w:pStyle w:val="Heading1"/>
        <w:keepNext/>
      </w:pPr>
      <w:bookmarkStart w:name="sec_AppendixB" w:id="126"/>
      <w:r>
        <w:t xml:space="preserve">Appendix B  How we use your information (waiting room poster)</w:t>
      </w:r>
      <w:bookmarkEnd w:id="126"/>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9506"/>
      </w:tblGrid>
      <w:tr>
        <w:trPr>
          <w:cantSplit/>
        </w:trPr>
        <w:tc>
          <w:tcPr>
            <w:tcW w:type="dxa" w:w="9506"/>
            <w:tcBorders>
              <w:top w:val="none" w:color="FFFFFF" w:sz="0"/>
              <w:left w:val="single" w:color="005EB8" w:sz="24"/>
              <w:bottom w:val="none" w:color="FFFFFF" w:sz="0"/>
              <w:right w:val="none" w:color="FFFFFF" w:sz="0"/>
            </w:tcBorders>
            <w:shd w:fill="EEF4FA" w:color="auto" w:val="clear"/>
            <w:tcMar>
              <w:top w:type="dxa" w:w="140"/>
              <w:left w:type="dxa" w:w="240"/>
              <w:bottom w:type="dxa" w:w="140"/>
              <w:right w:type="dxa" w:w="240"/>
            </w:tcMar>
          </w:tcPr>
          <w:p>
            <w:pPr>
              <w:pStyle w:val="ListParagraph"/>
              <w:numPr>
                <w:ilvl w:val="0"/>
                <w:numId w:val="2"/>
              </w:numPr>
              <w:spacing w:after="100"/>
            </w:pPr>
            <w:r>
              <w:t xml:space="preserve">We collect and hold data about you for the purpose of providing safe and effective healthcare.</w:t>
            </w:r>
          </w:p>
          <w:p>
            <w:pPr>
              <w:pStyle w:val="ListParagraph"/>
              <w:numPr>
                <w:ilvl w:val="0"/>
                <w:numId w:val="2"/>
              </w:numPr>
              <w:spacing w:after="100"/>
            </w:pPr>
            <w:r>
              <w:t xml:space="preserve">Your information may be shared with our partner organisations to audit services and help provide you with better care.</w:t>
            </w:r>
          </w:p>
          <w:p>
            <w:pPr>
              <w:pStyle w:val="ListParagraph"/>
              <w:numPr>
                <w:ilvl w:val="0"/>
                <w:numId w:val="2"/>
              </w:numPr>
              <w:spacing w:after="100"/>
            </w:pPr>
            <w:r>
              <w:t xml:space="preserve">Information sharing is subject to strict agreements on how it is used.</w:t>
            </w:r>
          </w:p>
          <w:p>
            <w:pPr>
              <w:pStyle w:val="ListParagraph"/>
              <w:numPr>
                <w:ilvl w:val="0"/>
                <w:numId w:val="2"/>
              </w:numPr>
              <w:spacing w:after="100"/>
            </w:pPr>
            <w:r>
              <w:t xml:space="preserve">We will only share your information outside of our partner organisations with your consent.*</w:t>
            </w:r>
          </w:p>
          <w:p>
            <w:pPr>
              <w:pStyle w:val="ListParagraph"/>
              <w:numPr>
                <w:ilvl w:val="0"/>
                <w:numId w:val="2"/>
              </w:numPr>
              <w:spacing w:after="100"/>
            </w:pPr>
            <w:r>
              <w:t xml:space="preserve">If you are happy with how we use your information you do not need to do anything.</w:t>
            </w:r>
          </w:p>
          <w:p>
            <w:pPr>
              <w:pStyle w:val="ListParagraph"/>
              <w:numPr>
                <w:ilvl w:val="0"/>
                <w:numId w:val="2"/>
              </w:numPr>
              <w:spacing w:after="100"/>
            </w:pPr>
            <w:r>
              <w:t xml:space="preserve">If you do not want your information to be used for any purpose beyond providing your care, please let us know so we can code your record appropriately.</w:t>
            </w:r>
          </w:p>
          <w:p>
            <w:pPr>
              <w:pStyle w:val="ListParagraph"/>
              <w:numPr>
                <w:ilvl w:val="0"/>
                <w:numId w:val="2"/>
              </w:numPr>
              <w:spacing w:after="100"/>
            </w:pPr>
            <w:r>
              <w:t xml:space="preserve">You can object to sharing information with other health care providers, but if this limits your treatment options we will tell you.</w:t>
            </w:r>
          </w:p>
          <w:p>
            <w:pPr>
              <w:pStyle w:val="ListParagraph"/>
              <w:numPr>
                <w:ilvl w:val="0"/>
                <w:numId w:val="2"/>
              </w:numPr>
              <w:spacing w:after="100"/>
            </w:pPr>
            <w:r>
              <w:t xml:space="preserve">Our guiding principle is that we are holding your information in the strictest confidence.</w:t>
            </w:r>
          </w:p>
          <w:p>
            <w:pPr>
              <w:pStyle w:val="ListParagraph"/>
              <w:numPr>
                <w:ilvl w:val="0"/>
                <w:numId w:val="2"/>
              </w:numPr>
              <w:spacing w:after="100"/>
            </w:pPr>
            <w:r>
              <w:t xml:space="preserve">For more information about who our partner organisations are and how your data is used, please see the privacy notice on our website or ask at reception.</w:t>
            </w:r>
          </w:p>
        </w:tc>
      </w:tr>
    </w:tbl>
    <w:p>
      <w:pPr>
        <w:spacing w:after="0"/>
      </w:pPr>
    </w:p>
    <w:p>
      <w:r>
        <w:rPr>
          <w:i/>
          <w:iCs/>
          <w:color w:val="425563"/>
          <w:sz w:val="18"/>
          <w:szCs w:val="18"/>
        </w:rPr>
        <w:t xml:space="preserve">*Unless the health and safety of others is at risk, the law requires it, or it is required to carry out a statutory function.</w:t>
      </w:r>
    </w:p>
    <w:sectPr>
      <w:headerReference w:type="default" r:id="rId7"/>
      <w:headerReference w:type="first" r:id="rId8"/>
      <w:footerReference w:type="default" r:id="rId9"/>
      <w:footerReference w:type="first" r:id="rId10"/>
      <w:pgSz w:w="11906" w:h="16838" w:orient="portrait"/>
      <w:pgMar w:top="1200" w:right="1200" w:bottom="1200" w:left="1200" w:header="60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EB7BD" w:sz="4" w:space="6"/>
      </w:pBdr>
      <w:tabs>
        <w:tab w:val="right" w:pos="9506"/>
      </w:tabs>
      <w:spacing w:after="0"/>
    </w:pPr>
    <w:r>
      <w:rPr>
        <w:color w:val="425563"/>
        <w:sz w:val="16"/>
        <w:szCs w:val="16"/>
      </w:rPr>
      <w:t xml:space="preserve">Reviewed October 2026  ·  Next review October 2027</w:t>
    </w:r>
    <w:r>
      <w:t xml:space="preserve">	</w:t>
    </w:r>
    <w:r>
      <w:rPr>
        <w:color w:val="425563"/>
        <w:sz w:val="16"/>
        <w:szCs w:val="16"/>
      </w:rPr>
      <w:t xml:space="preserve">Page </w:t>
    </w:r>
    <w:r>
      <w:rPr>
        <w:color w:val="425563"/>
        <w:sz w:val="16"/>
        <w:szCs w:val="16"/>
      </w:rPr>
      <w:fldChar w:fldCharType="begin"/>
      <w:instrText xml:space="preserve">PAGE</w:instrText>
      <w:fldChar w:fldCharType="separate"/>
      <w:fldChar w:fldCharType="end"/>
    </w:r>
    <w:r>
      <w:rPr>
        <w:color w:val="425563"/>
        <w:sz w:val="16"/>
        <w:szCs w:val="16"/>
      </w:rPr>
      <w:t xml:space="preserve"> of </w:t>
    </w:r>
    <w:r>
      <w:rPr>
        <w:color w:val="425563"/>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506"/>
      </w:tabs>
      <w:spacing w:after="0"/>
    </w:pPr>
    <w:r>
      <w:rPr>
        <w:b/>
        <w:bCs/>
        <w:color w:val="003087"/>
        <w:sz w:val="17"/>
        <w:szCs w:val="17"/>
      </w:rPr>
      <w:t xml:space="preserve">The Maples Health Centre</w:t>
    </w:r>
    <w:r>
      <w:t xml:space="preserve">	</w:t>
    </w:r>
    <w:r>
      <w:rPr>
        <w:color w:val="425563"/>
        <w:sz w:val="17"/>
        <w:szCs w:val="17"/>
      </w:rPr>
      <w:t xml:space="preserve">Privacy Notice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lvl w:ilvl="1" w15:tentative="1">
      <w:start w:val="1"/>
      <w:numFmt w:val="bullet"/>
      <w:lvlText w:val="–"/>
      <w:lvlJc w:val="left"/>
      <w:pPr>
        <w:ind w:left="1134" w:hanging="283"/>
      </w:pPr>
    </w:lvl>
  </w:abstractNum>
  <w:abstractNum w:abstractNumId="3" w15:restartNumberingAfterBreak="0">
    <w:multiLevelType w:val="hybridMultilevel"/>
    <w:lvl w:ilvl="0" w15:tentative="1">
      <w:start w:val="1"/>
      <w:numFmt w:val="lowerLetter"/>
      <w:lvlText w:val="%1)"/>
      <w:lvlJc w:val="left"/>
      <w:pPr>
        <w:ind w:left="567" w:hanging="425"/>
      </w:pPr>
    </w:lvl>
  </w:abstractNum>
  <w:abstractNum w:abstractNumId="4" w15:restartNumberingAfterBreak="0">
    <w:multiLevelType w:val="hybridMultilevel"/>
    <w:lvl w:ilvl="0" w15:tentative="1">
      <w:start w:val="1"/>
      <w:numFmt w:val="lowerLetter"/>
      <w:lvlText w:val="%1)"/>
      <w:lvlJc w:val="left"/>
      <w:pPr>
        <w:ind w:left="567" w:hanging="425"/>
      </w:pPr>
    </w:lvl>
  </w:abstractNum>
  <w:abstractNum w:abstractNumId="5" w15:restartNumberingAfterBreak="0">
    <w:multiLevelType w:val="hybridMultilevel"/>
    <w:lvl w:ilvl="0" w15:tentative="1">
      <w:start w:val="1"/>
      <w:numFmt w:val="lowerLetter"/>
      <w:lvlText w:val="%1)"/>
      <w:lvlJc w:val="left"/>
      <w:pPr>
        <w:ind w:left="567" w:hanging="425"/>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12B32"/>
        <w:sz w:val="21"/>
        <w:szCs w:val="21"/>
      </w:rPr>
    </w:rPrDefault>
    <w:pPrDefault>
      <w:pPr>
        <w:spacing w:after="14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5EB8" w:sz="6" w:space="4"/>
      </w:pBdr>
      <w:spacing w:after="160" w:before="420"/>
      <w:outlineLvl w:val="0"/>
    </w:pPr>
    <w:rPr>
      <w:rFonts w:ascii="Arial" w:cs="Arial" w:eastAsia="Arial" w:hAnsi="Arial"/>
      <w:b/>
      <w:bCs/>
      <w:color w:val="003087"/>
      <w:sz w:val="30"/>
      <w:szCs w:val="30"/>
    </w:rPr>
  </w:style>
  <w:style w:type="paragraph" w:styleId="Heading2">
    <w:name w:val="Heading 2"/>
    <w:basedOn w:val="Normal"/>
    <w:next w:val="Normal"/>
    <w:qFormat/>
    <w:pPr>
      <w:spacing w:after="100" w:before="260"/>
      <w:outlineLvl w:val="1"/>
    </w:pPr>
    <w:rPr>
      <w:rFonts w:ascii="Arial" w:cs="Arial" w:eastAsia="Arial" w:hAnsi="Arial"/>
      <w:b/>
      <w:bCs/>
      <w:color w:val="005EB8"/>
      <w:sz w:val="24"/>
      <w:szCs w:val="24"/>
    </w:rPr>
  </w:style>
  <w:style w:type="paragraph" w:styleId="Heading3">
    <w:name w:val="Heading 3"/>
    <w:basedOn w:val="Normal"/>
    <w:next w:val="Normal"/>
    <w:qFormat/>
    <w:pPr>
      <w:spacing w:after="80" w:before="200"/>
      <w:outlineLvl w:val="2"/>
    </w:pPr>
    <w:rPr>
      <w:rFonts w:ascii="Arial" w:cs="Arial" w:eastAsia="Arial" w:hAnsi="Arial"/>
      <w:b/>
      <w:bCs/>
      <w:color w:val="003087"/>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nbuvyzqcbegdgdhu5n7ze" Type="http://schemas.openxmlformats.org/officeDocument/2006/relationships/hyperlink" Target="https://digital.nhs.uk/services/national-data-opt-out" TargetMode="External"/><Relationship Id="rIdln4dvyzbg1xnn_iyb0s_o" Type="http://schemas.openxmlformats.org/officeDocument/2006/relationships/hyperlink" Target="https://www.mycarerecord.org.uk/" TargetMode="External"/><Relationship Id="rId9lzyps7lwtuidobrfhc3a" Type="http://schemas.openxmlformats.org/officeDocument/2006/relationships/hyperlink" Target="https://www.nhs.uk/your-nhs-data-matters/" TargetMode="External"/><Relationship Id="rIdioe2_0mxopazgwc-8vua7" Type="http://schemas.openxmlformats.org/officeDocument/2006/relationships/hyperlink" Target="https://www.centraleast.icb.nhs.uk/privacy/" TargetMode="External"/><Relationship Id="rIdfftydbmkvc4nyip792sno" Type="http://schemas.openxmlformats.org/officeDocument/2006/relationships/hyperlink" Target="https://www.nhs.uk/using-the-nhs/about-the-nhs/opt-out-of-sharing-your-health-records/" TargetMode="External"/><Relationship Id="rIdxm7yh81hfhajg6hj13rm3" Type="http://schemas.openxmlformats.org/officeDocument/2006/relationships/hyperlink" Target="https://www.opensafely.org/" TargetMode="External"/><Relationship Id="rId8ra5xc--q9vapd4qtvjlh" Type="http://schemas.openxmlformats.org/officeDocument/2006/relationships/hyperlink" Target="https://ico.org.uk/" TargetMode="External"/><Relationship Id="rIdtioonpaardgbd9u1aqenc" Type="http://schemas.openxmlformats.org/officeDocument/2006/relationships/hyperlink" Target="mailto:casework@ico.org.uk" TargetMode="External"/><Relationship Id="rIdjsy209ijeuzqxg2rpgj_l" Type="http://schemas.openxmlformats.org/officeDocument/2006/relationships/hyperlink" Target="mailto:hweicbenh.dpogpcontractedservice@nhs.net" TargetMode="External"/><Relationship Id="rIdlfq4jtxeox8w8qvkjo7f8" Type="http://schemas.openxmlformats.org/officeDocument/2006/relationships/hyperlink" Target="https://lp.healthy.io/minuteful_info/" TargetMode="External"/><Relationship Id="rId11" Type="http://schemas.openxmlformats.org/officeDocument/2006/relationships/image" Target="media/be2304e6d4d467bbc2529c9e4f12112f0e0b0c6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The Maples Health Centre</dc:title>
  <dc:creator>The Maples Health Centre</dc:creator>
  <cp:lastModifiedBy>Un-named</cp:lastModifiedBy>
  <cp:revision>1</cp:revision>
  <dcterms:created xsi:type="dcterms:W3CDTF">2026-10-12T13:33:45.764Z</dcterms:created>
  <dcterms:modified xsi:type="dcterms:W3CDTF">2026-10-12T13:33:45.764Z</dcterms:modified>
</cp:coreProperties>
</file>

<file path=docProps/custom.xml><?xml version="1.0" encoding="utf-8"?>
<Properties xmlns="http://schemas.openxmlformats.org/officeDocument/2006/custom-properties" xmlns:vt="http://schemas.openxmlformats.org/officeDocument/2006/docPropsVTypes"/>
</file>